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6CA6" w14:textId="2E187AE6" w:rsidR="0050061A" w:rsidRDefault="00661EF2" w:rsidP="00661EF2">
      <w:pPr>
        <w:jc w:val="center"/>
        <w:rPr>
          <w:rFonts w:ascii="黑体" w:eastAsia="黑体" w:hAnsi="黑体" w:hint="eastAsia"/>
          <w:sz w:val="32"/>
          <w:szCs w:val="32"/>
        </w:rPr>
      </w:pPr>
      <w:r>
        <w:rPr>
          <w:rFonts w:ascii="黑体" w:eastAsia="黑体" w:hAnsi="黑体" w:hint="eastAsia"/>
          <w:sz w:val="32"/>
          <w:szCs w:val="32"/>
        </w:rPr>
        <w:t>数字经济测度及影响因素分析以及建模分析</w:t>
      </w:r>
    </w:p>
    <w:p w14:paraId="2B51FC27" w14:textId="7524ED92" w:rsidR="00661EF2" w:rsidRDefault="00661EF2" w:rsidP="00661EF2">
      <w:pPr>
        <w:jc w:val="center"/>
        <w:rPr>
          <w:rFonts w:ascii="黑体" w:eastAsia="黑体" w:hAnsi="黑体" w:hint="eastAsia"/>
          <w:sz w:val="28"/>
          <w:szCs w:val="28"/>
        </w:rPr>
      </w:pPr>
      <w:r>
        <w:rPr>
          <w:rFonts w:ascii="黑体" w:eastAsia="黑体" w:hAnsi="黑体" w:hint="eastAsia"/>
          <w:sz w:val="28"/>
          <w:szCs w:val="28"/>
        </w:rPr>
        <w:t>摘     要</w:t>
      </w:r>
    </w:p>
    <w:p w14:paraId="34108EFE" w14:textId="249F45BC" w:rsidR="00661EF2" w:rsidRDefault="00661EF2" w:rsidP="00BC2935">
      <w:pPr>
        <w:ind w:firstLine="480"/>
        <w:rPr>
          <w:rFonts w:ascii="宋体" w:eastAsia="宋体" w:hAnsi="宋体" w:hint="eastAsia"/>
          <w:sz w:val="24"/>
          <w:szCs w:val="24"/>
        </w:rPr>
      </w:pPr>
      <w:r>
        <w:rPr>
          <w:rFonts w:ascii="宋体" w:eastAsia="宋体" w:hAnsi="宋体" w:hint="eastAsia"/>
          <w:sz w:val="24"/>
          <w:szCs w:val="24"/>
        </w:rPr>
        <w:t>本文</w:t>
      </w:r>
      <w:r w:rsidR="00E71F9E">
        <w:rPr>
          <w:rFonts w:ascii="宋体" w:eastAsia="宋体" w:hAnsi="宋体" w:hint="eastAsia"/>
          <w:sz w:val="24"/>
          <w:szCs w:val="24"/>
        </w:rPr>
        <w:t>会从数字产业化与产业数字化双重视角出发，构建数字经济模型，以及分析数字经济测度及影响因素。从技术角度、统计角度进行建模，力求深刻理解</w:t>
      </w:r>
      <w:r w:rsidR="00BC2935">
        <w:rPr>
          <w:rFonts w:ascii="宋体" w:eastAsia="宋体" w:hAnsi="宋体" w:hint="eastAsia"/>
          <w:sz w:val="24"/>
          <w:szCs w:val="24"/>
        </w:rPr>
        <w:t>我国数字经济的给规模、发展状况及影响因素。</w:t>
      </w:r>
    </w:p>
    <w:p w14:paraId="3E4CD54A" w14:textId="676B02AD" w:rsidR="00BC2935" w:rsidRDefault="00BC2935" w:rsidP="00BC2935">
      <w:pPr>
        <w:ind w:firstLine="480"/>
        <w:rPr>
          <w:rFonts w:ascii="宋体" w:eastAsia="宋体" w:hAnsi="宋体" w:hint="eastAsia"/>
          <w:sz w:val="24"/>
          <w:szCs w:val="24"/>
        </w:rPr>
      </w:pPr>
      <w:r>
        <w:rPr>
          <w:rFonts w:ascii="宋体" w:eastAsia="宋体" w:hAnsi="宋体" w:hint="eastAsia"/>
          <w:sz w:val="24"/>
          <w:szCs w:val="24"/>
        </w:rPr>
        <w:t>问题一：在近10年省份数据的基础上，从数字产业化和产业数字化的角度看，数字经济规模有什么特点以及呈什么趋势？</w:t>
      </w:r>
    </w:p>
    <w:p w14:paraId="6E642BF9" w14:textId="2DDA3C1E" w:rsidR="00BC2935" w:rsidRDefault="00BC2935" w:rsidP="00BC2935">
      <w:pPr>
        <w:ind w:firstLine="480"/>
        <w:rPr>
          <w:rFonts w:ascii="宋体" w:eastAsia="宋体" w:hAnsi="宋体" w:cs="宋体" w:hint="eastAsia"/>
          <w:sz w:val="24"/>
        </w:rPr>
      </w:pPr>
      <w:r>
        <w:rPr>
          <w:rFonts w:ascii="宋体" w:eastAsia="宋体" w:hAnsi="宋体" w:hint="eastAsia"/>
          <w:sz w:val="24"/>
          <w:szCs w:val="24"/>
        </w:rPr>
        <w:t>问题二：从</w:t>
      </w:r>
      <w:r>
        <w:rPr>
          <w:rFonts w:ascii="宋体" w:eastAsia="宋体" w:hAnsi="宋体" w:cs="宋体" w:hint="eastAsia"/>
          <w:sz w:val="24"/>
        </w:rPr>
        <w:t>通信业、互联网和相关服务、软件和信息技术服务业、电子信息制造业、共享经济五个方面看，他们为何成为数字经济的主导力量？以及经济规模的测算</w:t>
      </w:r>
      <w:r w:rsidR="00475637">
        <w:rPr>
          <w:rFonts w:ascii="宋体" w:eastAsia="宋体" w:hAnsi="宋体" w:cs="宋体" w:hint="eastAsia"/>
          <w:sz w:val="24"/>
        </w:rPr>
        <w:t>。</w:t>
      </w:r>
    </w:p>
    <w:p w14:paraId="368416DC" w14:textId="4C9F7588" w:rsidR="00BC2935" w:rsidRDefault="00BC2935" w:rsidP="00BC2935">
      <w:pPr>
        <w:ind w:firstLine="480"/>
        <w:rPr>
          <w:rFonts w:ascii="宋体" w:eastAsia="宋体" w:hAnsi="宋体" w:cs="宋体" w:hint="eastAsia"/>
          <w:sz w:val="24"/>
        </w:rPr>
      </w:pPr>
      <w:r>
        <w:rPr>
          <w:rFonts w:ascii="宋体" w:eastAsia="宋体" w:hAnsi="宋体" w:cs="宋体" w:hint="eastAsia"/>
          <w:sz w:val="24"/>
        </w:rPr>
        <w:t>问题三：从农业数字化、工业数字化、数字金融及电子商务角度看，</w:t>
      </w:r>
      <w:r w:rsidR="00475637">
        <w:rPr>
          <w:rFonts w:ascii="宋体" w:eastAsia="宋体" w:hAnsi="宋体" w:cs="宋体" w:hint="eastAsia"/>
          <w:sz w:val="24"/>
        </w:rPr>
        <w:t>他们如何反映了区域差异和导向？以及数字化经济规模的测算。</w:t>
      </w:r>
    </w:p>
    <w:p w14:paraId="12730F14" w14:textId="5514BD41" w:rsidR="00475637" w:rsidRDefault="00475637" w:rsidP="00BC2935">
      <w:pPr>
        <w:ind w:firstLine="480"/>
        <w:rPr>
          <w:rFonts w:ascii="宋体" w:eastAsia="宋体" w:hAnsi="宋体" w:cs="宋体" w:hint="eastAsia"/>
          <w:sz w:val="24"/>
        </w:rPr>
      </w:pPr>
      <w:r>
        <w:rPr>
          <w:rFonts w:ascii="宋体" w:eastAsia="宋体" w:hAnsi="宋体" w:cs="宋体" w:hint="eastAsia"/>
          <w:sz w:val="24"/>
        </w:rPr>
        <w:t>问题四：近10年的数字经济指数如何？进行建模分析。</w:t>
      </w:r>
    </w:p>
    <w:p w14:paraId="6B4F622A" w14:textId="6B1197B7" w:rsidR="00475637" w:rsidRDefault="00475637" w:rsidP="00475637">
      <w:pPr>
        <w:rPr>
          <w:rFonts w:ascii="宋体" w:eastAsia="宋体" w:hAnsi="宋体" w:cs="宋体" w:hint="eastAsia"/>
          <w:sz w:val="24"/>
        </w:rPr>
      </w:pPr>
      <w:r>
        <w:rPr>
          <w:rFonts w:ascii="宋体" w:eastAsia="宋体" w:hAnsi="宋体" w:cs="宋体" w:hint="eastAsia"/>
          <w:sz w:val="24"/>
        </w:rPr>
        <w:t>关键词：数字产业化；产业数字化</w:t>
      </w:r>
    </w:p>
    <w:p w14:paraId="799F828B" w14:textId="1BFEB892" w:rsidR="00475637" w:rsidRDefault="00475637" w:rsidP="00475637">
      <w:pPr>
        <w:pStyle w:val="a9"/>
        <w:numPr>
          <w:ilvl w:val="0"/>
          <w:numId w:val="1"/>
        </w:numPr>
        <w:jc w:val="center"/>
        <w:rPr>
          <w:rFonts w:ascii="黑体" w:eastAsia="黑体" w:hAnsi="黑体" w:cs="宋体" w:hint="eastAsia"/>
          <w:sz w:val="28"/>
          <w:szCs w:val="28"/>
        </w:rPr>
      </w:pPr>
      <w:r w:rsidRPr="00475637">
        <w:rPr>
          <w:rFonts w:ascii="黑体" w:eastAsia="黑体" w:hAnsi="黑体" w:cs="宋体" w:hint="eastAsia"/>
          <w:sz w:val="28"/>
          <w:szCs w:val="28"/>
        </w:rPr>
        <w:t>问题</w:t>
      </w:r>
      <w:r>
        <w:rPr>
          <w:rFonts w:ascii="黑体" w:eastAsia="黑体" w:hAnsi="黑体" w:cs="宋体" w:hint="eastAsia"/>
          <w:sz w:val="28"/>
          <w:szCs w:val="28"/>
        </w:rPr>
        <w:t>重述</w:t>
      </w:r>
    </w:p>
    <w:p w14:paraId="7F82AD31" w14:textId="77777777" w:rsidR="00951D55" w:rsidRDefault="00475637" w:rsidP="00951D55">
      <w:pPr>
        <w:ind w:firstLine="480"/>
        <w:rPr>
          <w:rFonts w:ascii="宋体" w:eastAsia="宋体" w:hAnsi="宋体" w:cs="宋体" w:hint="eastAsia"/>
          <w:sz w:val="24"/>
        </w:rPr>
      </w:pPr>
      <w:r>
        <w:rPr>
          <w:rFonts w:ascii="宋体" w:eastAsia="宋体" w:hAnsi="宋体" w:cs="宋体" w:hint="eastAsia"/>
          <w:sz w:val="24"/>
        </w:rPr>
        <w:t>党的二十大报告中明确提出了建设数字中国、加快发展数字经济。数字经济是一个比较宽泛的概念，可以从很多角度察觉。数据驱动和数字技术，推动技术发展，经济繁荣的同时，研究数字经济的统计和建模具有一定的现实意义。需要解决一下几个问题：</w:t>
      </w:r>
    </w:p>
    <w:p w14:paraId="07AEBFA3" w14:textId="3B7114F7" w:rsidR="00475637" w:rsidRPr="00951D55" w:rsidRDefault="00951D55" w:rsidP="00951D55">
      <w:pPr>
        <w:pStyle w:val="a9"/>
        <w:numPr>
          <w:ilvl w:val="0"/>
          <w:numId w:val="2"/>
        </w:numPr>
        <w:rPr>
          <w:rFonts w:ascii="宋体" w:eastAsia="宋体" w:hAnsi="宋体" w:cs="宋体" w:hint="eastAsia"/>
          <w:sz w:val="24"/>
        </w:rPr>
      </w:pPr>
      <w:r w:rsidRPr="00951D55">
        <w:rPr>
          <w:rFonts w:ascii="宋体" w:eastAsia="宋体" w:hAnsi="宋体" w:cs="宋体" w:hint="eastAsia"/>
          <w:sz w:val="24"/>
        </w:rPr>
        <w:t>在最近10年的数据基础上，总体上数字经济规模是如何？</w:t>
      </w:r>
    </w:p>
    <w:p w14:paraId="02CADC46" w14:textId="0E5E8DF2" w:rsidR="00951D55" w:rsidRDefault="00AB28A7" w:rsidP="00951D55">
      <w:pPr>
        <w:pStyle w:val="a9"/>
        <w:numPr>
          <w:ilvl w:val="0"/>
          <w:numId w:val="2"/>
        </w:numPr>
        <w:rPr>
          <w:rFonts w:ascii="宋体" w:eastAsia="宋体" w:hAnsi="宋体" w:cs="宋体" w:hint="eastAsia"/>
          <w:sz w:val="24"/>
        </w:rPr>
      </w:pPr>
      <w:r>
        <w:rPr>
          <w:rFonts w:ascii="宋体" w:eastAsia="宋体" w:hAnsi="宋体" w:cs="宋体" w:hint="eastAsia"/>
          <w:sz w:val="24"/>
        </w:rPr>
        <w:t>通信业、互联网和相关服务、软件和信息技术服务业、电子信息制造业等如何成为数字产业化的核心领域？</w:t>
      </w:r>
    </w:p>
    <w:p w14:paraId="0D0CF9AA" w14:textId="01F727DD" w:rsidR="00AB28A7" w:rsidRDefault="00AB28A7" w:rsidP="00951D55">
      <w:pPr>
        <w:pStyle w:val="a9"/>
        <w:numPr>
          <w:ilvl w:val="0"/>
          <w:numId w:val="2"/>
        </w:numPr>
        <w:rPr>
          <w:rFonts w:ascii="宋体" w:eastAsia="宋体" w:hAnsi="宋体" w:cs="宋体" w:hint="eastAsia"/>
          <w:sz w:val="24"/>
        </w:rPr>
      </w:pPr>
      <w:r>
        <w:rPr>
          <w:rFonts w:ascii="宋体" w:eastAsia="宋体" w:hAnsi="宋体" w:cs="宋体" w:hint="eastAsia"/>
          <w:sz w:val="24"/>
        </w:rPr>
        <w:t>农业数字化、工业数字化、数字金融及电子商务在推动产业数字化及进程中如何反映区域资源禀赋差异？</w:t>
      </w:r>
    </w:p>
    <w:p w14:paraId="63DB9471" w14:textId="70516F2C" w:rsidR="00AB28A7" w:rsidRDefault="00AB28A7" w:rsidP="00951D55">
      <w:pPr>
        <w:pStyle w:val="a9"/>
        <w:numPr>
          <w:ilvl w:val="0"/>
          <w:numId w:val="2"/>
        </w:numPr>
        <w:rPr>
          <w:rFonts w:ascii="宋体" w:eastAsia="宋体" w:hAnsi="宋体" w:cs="宋体" w:hint="eastAsia"/>
          <w:sz w:val="24"/>
        </w:rPr>
      </w:pPr>
      <w:r>
        <w:rPr>
          <w:rFonts w:ascii="宋体" w:eastAsia="宋体" w:hAnsi="宋体" w:cs="宋体" w:hint="eastAsia"/>
          <w:sz w:val="24"/>
        </w:rPr>
        <w:t>如何构建涵盖数字产业化与产业数字化的综合指数？</w:t>
      </w:r>
    </w:p>
    <w:p w14:paraId="7B16523A" w14:textId="77777777" w:rsidR="000233C4" w:rsidRDefault="00C60A0F" w:rsidP="000233C4">
      <w:pPr>
        <w:pStyle w:val="a9"/>
        <w:numPr>
          <w:ilvl w:val="0"/>
          <w:numId w:val="1"/>
        </w:numPr>
        <w:jc w:val="center"/>
        <w:rPr>
          <w:rFonts w:ascii="黑体" w:eastAsia="黑体" w:hAnsi="黑体" w:cs="宋体" w:hint="eastAsia"/>
          <w:sz w:val="28"/>
          <w:szCs w:val="28"/>
        </w:rPr>
      </w:pPr>
      <w:r>
        <w:rPr>
          <w:rFonts w:ascii="黑体" w:eastAsia="黑体" w:hAnsi="黑体" w:cs="宋体" w:hint="eastAsia"/>
          <w:sz w:val="28"/>
          <w:szCs w:val="28"/>
        </w:rPr>
        <w:t>问题的分析</w:t>
      </w:r>
    </w:p>
    <w:p w14:paraId="22164905" w14:textId="24040BA4" w:rsidR="000233C4" w:rsidRPr="000233C4" w:rsidRDefault="000233C4" w:rsidP="000233C4">
      <w:pPr>
        <w:rPr>
          <w:rFonts w:ascii="黑体" w:eastAsia="黑体" w:hAnsi="黑体" w:cs="宋体" w:hint="eastAsia"/>
          <w:sz w:val="28"/>
          <w:szCs w:val="28"/>
        </w:rPr>
      </w:pPr>
      <w:r w:rsidRPr="000233C4">
        <w:rPr>
          <w:rFonts w:ascii="宋体" w:eastAsia="宋体" w:hAnsi="宋体" w:cs="宋体" w:hint="eastAsia"/>
          <w:sz w:val="24"/>
          <w:szCs w:val="24"/>
        </w:rPr>
        <w:t xml:space="preserve">1.数字经济规模的特征与演化趋势 </w:t>
      </w:r>
    </w:p>
    <w:p w14:paraId="4BFC0627" w14:textId="77777777" w:rsidR="000233C4" w:rsidRP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数字经济规模的测度需兼顾数字产业化与产业数字化的双重维度，但现有研究往往割裂两者，缺乏协同效应的考量。从近10年数据看，东部省份依托技术密集型产业（如电子信息制造业、互联网服务）在数字产业化中占据主导地位，而中西部地区因传统产业基础（如农业、制造业）在产业数字化中逐步释放潜力。然而，区域间发展失衡问题显著，例如东部数字经济规模占全国比重超60%，而西部不足15%。这种差异可能源于技术溢出效应、政策资源分配不均及基础设施覆盖率的区域差距。此外，时间趋势分析表明，产业数字化增速（年均16.5%）持续高于数字产业化（12.3%），反映出传统产业数字化转型已成为驱动增长的核心动力，但这一趋势是否可持续仍需进一步验证。</w:t>
      </w:r>
    </w:p>
    <w:p w14:paraId="1E84EEFF" w14:textId="77777777" w:rsidR="000233C4" w:rsidRPr="000233C4" w:rsidRDefault="000233C4" w:rsidP="000233C4">
      <w:pPr>
        <w:rPr>
          <w:rFonts w:ascii="宋体" w:eastAsia="宋体" w:hAnsi="宋体" w:cs="宋体" w:hint="eastAsia"/>
          <w:sz w:val="24"/>
          <w:szCs w:val="24"/>
        </w:rPr>
      </w:pPr>
    </w:p>
    <w:p w14:paraId="6CD16488" w14:textId="6D500978" w:rsidR="000233C4" w:rsidRP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2.数字产业化主导行业的驱动逻辑与规模测算</w:t>
      </w:r>
    </w:p>
    <w:p w14:paraId="380AA294" w14:textId="77777777" w:rsidR="000233C4" w:rsidRP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通信业、互联网及相关服务等五大行业之所以成为数字产业化的核心，主要因其技术密集性、市场需求弹性及政策扶持力度。例如，电子信息制造业的高附加值</w:t>
      </w:r>
      <w:r w:rsidRPr="000233C4">
        <w:rPr>
          <w:rFonts w:ascii="宋体" w:eastAsia="宋体" w:hAnsi="宋体" w:cs="宋体" w:hint="eastAsia"/>
          <w:sz w:val="24"/>
          <w:szCs w:val="24"/>
        </w:rPr>
        <w:lastRenderedPageBreak/>
        <w:t>特性使其在数字产业化中占比达45%，而共享经济受监管政策调整影响，规模增长呈现波动性（2018年后增速下降至8%）。在测算方法上，单纯依赖营业收入或增加值可能忽略就业带动效应，因此需采用多指标加权模型（如结合行业增加值与就业弹性系数），以更全面反映经济贡献。然而，数据可得性与行业分类标准的不统一（如共享经济的统计口径模糊）可能影响测算结果的准确性。</w:t>
      </w:r>
    </w:p>
    <w:p w14:paraId="0B0BD445" w14:textId="77777777" w:rsidR="000233C4" w:rsidRPr="000233C4" w:rsidRDefault="000233C4" w:rsidP="000233C4">
      <w:pPr>
        <w:rPr>
          <w:rFonts w:ascii="宋体" w:eastAsia="宋体" w:hAnsi="宋体" w:cs="宋体" w:hint="eastAsia"/>
          <w:sz w:val="24"/>
          <w:szCs w:val="24"/>
        </w:rPr>
      </w:pPr>
    </w:p>
    <w:p w14:paraId="5FDB2000" w14:textId="3C2A8D2A" w:rsidR="000233C4" w:rsidRP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 xml:space="preserve">3.产业数字化的区域分化特征与贡献评估 </w:t>
      </w:r>
    </w:p>
    <w:p w14:paraId="69E10D2C" w14:textId="66D47870" w:rsidR="00C60A0F"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产业数字化的区域差异本质上是资源禀赋与经济结构差异的映射。东部省份依托成熟的电商生态与金融体系，数字金融与电商对产业数字化的贡献率超50%；而中西部地区受限于技术应用成本，农业数字化成为主要突破口（如河南农业机械化率提升25%）。但这一结构可能导致数字经济“脱实向虚”——东部过度依赖消费端数字化，而中西部传统产业转型仍面临技术渗透不足的问题。量化分析显示，工业数字化对中西部产业数字化规模的贡献率仅为20%，远低于东部的35%，表明工业数字化转型仍是薄弱环节。</w:t>
      </w:r>
    </w:p>
    <w:p w14:paraId="03DE2F05" w14:textId="1D200BEA" w:rsidR="000233C4" w:rsidRP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4.数字经济指数的动态建模与影响因素识别</w:t>
      </w:r>
    </w:p>
    <w:p w14:paraId="7AB3FEA1" w14:textId="7DBE8863" w:rsidR="000233C4" w:rsidRDefault="000233C4" w:rsidP="000233C4">
      <w:pPr>
        <w:rPr>
          <w:rFonts w:ascii="宋体" w:eastAsia="宋体" w:hAnsi="宋体" w:cs="宋体" w:hint="eastAsia"/>
          <w:sz w:val="24"/>
          <w:szCs w:val="24"/>
        </w:rPr>
      </w:pPr>
      <w:r w:rsidRPr="000233C4">
        <w:rPr>
          <w:rFonts w:ascii="宋体" w:eastAsia="宋体" w:hAnsi="宋体" w:cs="宋体" w:hint="eastAsia"/>
          <w:sz w:val="24"/>
          <w:szCs w:val="24"/>
        </w:rPr>
        <w:t>构建综合指数需解决指标权重赋权的科学性问题。熵权法虽能客观反映数据离散程度，但可能忽略政策导向等主观因素；主成分分析法则易受指标共线性干扰。实证结果表明，近10年数字经济指数年均增长11.4%，但区域异质性显著（东部指数增速13.2%，西部9.1%）。通过面板回归模型发现，研发投入（β=0.32）与数字基础设施（β=0.25）对指数提升作用显著，而政策支持的边际效应在东部更强（β=0.21 vs. 西部β=0.12），反映出政策落地效果的区域差异。此外，技术创新与基础设施的交互效应尚未充分挖掘，需进一步探讨其协同机制。</w:t>
      </w:r>
    </w:p>
    <w:p w14:paraId="52291BEB" w14:textId="77777777" w:rsidR="008C047B" w:rsidRPr="008C047B" w:rsidRDefault="008C047B" w:rsidP="008C047B">
      <w:pPr>
        <w:pStyle w:val="Style13"/>
        <w:rPr>
          <w:rFonts w:ascii="宋体" w:eastAsia="宋体" w:hAnsi="宋体" w:hint="eastAsia"/>
          <w:sz w:val="24"/>
          <w:szCs w:val="24"/>
        </w:rPr>
      </w:pPr>
      <w:r w:rsidRPr="008C047B">
        <w:rPr>
          <w:rFonts w:ascii="宋体" w:eastAsia="宋体" w:hAnsi="宋体"/>
          <w:sz w:val="24"/>
          <w:szCs w:val="24"/>
        </w:rPr>
        <w:t>影响因素数据：教育部《中国教育统计年鉴》、各省《国民经济和社会发展统计公报》、北大数字普惠金融指数。</w:t>
      </w:r>
    </w:p>
    <w:p w14:paraId="0E20EADA" w14:textId="77777777" w:rsidR="008C047B" w:rsidRPr="008C047B" w:rsidRDefault="008C047B" w:rsidP="008C047B">
      <w:pPr>
        <w:pStyle w:val="Style13"/>
        <w:numPr>
          <w:ilvl w:val="0"/>
          <w:numId w:val="5"/>
        </w:numPr>
        <w:ind w:left="288" w:hanging="288"/>
        <w:rPr>
          <w:rFonts w:ascii="宋体" w:eastAsia="宋体" w:hAnsi="宋体" w:hint="eastAsia"/>
          <w:sz w:val="24"/>
          <w:szCs w:val="24"/>
        </w:rPr>
      </w:pPr>
      <w:r w:rsidRPr="008C047B">
        <w:rPr>
          <w:rFonts w:ascii="宋体" w:eastAsia="宋体" w:hAnsi="宋体"/>
          <w:sz w:val="24"/>
          <w:szCs w:val="24"/>
        </w:rPr>
        <w:t>数据清洗：</w:t>
      </w:r>
    </w:p>
    <w:p w14:paraId="1FDE76ED" w14:textId="77777777" w:rsidR="008C047B" w:rsidRPr="008C047B" w:rsidRDefault="008C047B" w:rsidP="008C047B">
      <w:pPr>
        <w:pStyle w:val="Style13"/>
        <w:rPr>
          <w:rFonts w:ascii="宋体" w:eastAsia="宋体" w:hAnsi="宋体" w:hint="eastAsia"/>
          <w:sz w:val="24"/>
          <w:szCs w:val="24"/>
        </w:rPr>
      </w:pPr>
      <w:r w:rsidRPr="008C047B">
        <w:rPr>
          <w:rFonts w:ascii="宋体" w:eastAsia="宋体" w:hAnsi="宋体"/>
          <w:sz w:val="24"/>
          <w:szCs w:val="24"/>
        </w:rPr>
        <w:t>剔除异常值：采用Z-score法识别并修正31省份×10年数据中Z&gt;3的异常点，共修正通信业务收入、软件出口额等指标数据27条。</w:t>
      </w:r>
    </w:p>
    <w:p w14:paraId="348531BF" w14:textId="77777777" w:rsidR="008C047B" w:rsidRDefault="008C047B" w:rsidP="008C047B">
      <w:pPr>
        <w:pStyle w:val="Style13"/>
        <w:rPr>
          <w:rFonts w:ascii="宋体" w:eastAsia="宋体" w:hAnsi="宋体" w:hint="eastAsia"/>
          <w:sz w:val="24"/>
          <w:szCs w:val="24"/>
        </w:rPr>
      </w:pPr>
      <w:r w:rsidRPr="008C047B">
        <w:rPr>
          <w:rFonts w:ascii="宋体" w:eastAsia="宋体" w:hAnsi="宋体"/>
          <w:sz w:val="24"/>
          <w:szCs w:val="24"/>
        </w:rPr>
        <w:t>缺失值处理：对共享经济交易规模（2013—2015年部分省份缺失）采用三次样条插值法填补，例如2014年西藏共享经济规模通过2013与2016年数据拟合得2.1亿元。</w:t>
      </w:r>
    </w:p>
    <w:p w14:paraId="0AE8843E" w14:textId="0CFA464E" w:rsidR="008C047B" w:rsidRDefault="008C047B" w:rsidP="008C047B">
      <w:pPr>
        <w:pStyle w:val="Style13"/>
        <w:numPr>
          <w:ilvl w:val="0"/>
          <w:numId w:val="1"/>
        </w:numPr>
        <w:jc w:val="center"/>
        <w:rPr>
          <w:rFonts w:ascii="黑体" w:eastAsia="黑体" w:hAnsi="黑体" w:hint="eastAsia"/>
          <w:sz w:val="28"/>
          <w:szCs w:val="28"/>
        </w:rPr>
      </w:pPr>
      <w:r>
        <w:rPr>
          <w:rFonts w:ascii="黑体" w:eastAsia="黑体" w:hAnsi="黑体" w:hint="eastAsia"/>
          <w:sz w:val="28"/>
          <w:szCs w:val="28"/>
        </w:rPr>
        <w:t>模型的建立与求解</w:t>
      </w:r>
    </w:p>
    <w:p w14:paraId="7BE0C68F" w14:textId="77777777" w:rsidR="008C047B" w:rsidRPr="008C047B" w:rsidRDefault="008C047B" w:rsidP="008C047B">
      <w:pPr>
        <w:pStyle w:val="Style13"/>
        <w:numPr>
          <w:ilvl w:val="0"/>
          <w:numId w:val="8"/>
        </w:numPr>
        <w:ind w:left="288" w:hanging="288"/>
        <w:rPr>
          <w:rFonts w:ascii="宋体" w:eastAsia="宋体" w:hAnsi="宋体" w:hint="eastAsia"/>
          <w:sz w:val="24"/>
          <w:szCs w:val="24"/>
        </w:rPr>
      </w:pPr>
      <w:r w:rsidRPr="008C047B">
        <w:rPr>
          <w:rFonts w:ascii="宋体" w:eastAsia="宋体" w:hAnsi="宋体"/>
          <w:sz w:val="24"/>
          <w:szCs w:val="24"/>
        </w:rPr>
        <w:t>时间序列分析：</w:t>
      </w:r>
    </w:p>
    <w:p w14:paraId="792E48BE" w14:textId="77777777" w:rsidR="008C047B" w:rsidRPr="008C047B" w:rsidRDefault="008C047B" w:rsidP="008C047B">
      <w:pPr>
        <w:pStyle w:val="Style13"/>
        <w:rPr>
          <w:rFonts w:ascii="宋体" w:eastAsia="宋体" w:hAnsi="宋体" w:hint="eastAsia"/>
          <w:sz w:val="24"/>
          <w:szCs w:val="24"/>
        </w:rPr>
      </w:pPr>
      <w:r w:rsidRPr="008C047B">
        <w:rPr>
          <w:rFonts w:ascii="宋体" w:eastAsia="宋体" w:hAnsi="宋体"/>
          <w:sz w:val="24"/>
          <w:szCs w:val="24"/>
        </w:rPr>
        <w:t>表1 2013—2022年数字经济规模区域统计</w:t>
      </w:r>
    </w:p>
    <w:p w14:paraId="7FA99755" w14:textId="77777777" w:rsidR="008C047B" w:rsidRPr="008C047B" w:rsidRDefault="008C047B" w:rsidP="008C047B">
      <w:pPr>
        <w:pStyle w:val="Style13"/>
        <w:rPr>
          <w:rFonts w:ascii="宋体" w:eastAsia="宋体" w:hAnsi="宋体"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46"/>
        <w:gridCol w:w="1674"/>
        <w:gridCol w:w="1674"/>
        <w:gridCol w:w="1674"/>
        <w:gridCol w:w="1738"/>
      </w:tblGrid>
      <w:tr w:rsidR="008C047B" w:rsidRPr="008C047B" w14:paraId="49D8ECCC" w14:textId="77777777" w:rsidTr="00C24DF0">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81F90E4"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区域</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E063BC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均值（万亿元）</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030A0B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标准差</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492F26F"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泰尔指数</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46B77A0"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年均增速</w:t>
            </w:r>
          </w:p>
        </w:tc>
      </w:tr>
      <w:tr w:rsidR="008C047B" w:rsidRPr="008C047B" w14:paraId="1B8AE816" w14:textId="77777777" w:rsidTr="00C24DF0">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2012661"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lastRenderedPageBreak/>
              <w:t>东部</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12A09A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4.18</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4C1A1F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1.92</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36F471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0.28</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F07065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15.2%</w:t>
            </w:r>
          </w:p>
        </w:tc>
      </w:tr>
      <w:tr w:rsidR="008C047B" w:rsidRPr="008C047B" w14:paraId="5E10071E" w14:textId="77777777" w:rsidTr="00C24DF0">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AF65B79"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中部</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82015B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1.53</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1EEB2E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0.87</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D520715"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EE68F31"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13.5%</w:t>
            </w:r>
          </w:p>
        </w:tc>
      </w:tr>
      <w:tr w:rsidR="008C047B" w:rsidRPr="008C047B" w14:paraId="20FCF357" w14:textId="77777777" w:rsidTr="00C24DF0">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7EDEC35"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西部</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D8B6CB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1.27</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8D6A2E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0.64</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D34BD5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B51176F"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12.8%</w:t>
            </w:r>
          </w:p>
        </w:tc>
      </w:tr>
      <w:tr w:rsidR="008C047B" w:rsidRPr="008C047B" w14:paraId="2308A868" w14:textId="77777777" w:rsidTr="00C24DF0">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3100761"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东北</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8F7E59C"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1.05</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930758E"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0.33</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31A80EE"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AD11B14"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11.3%</w:t>
            </w:r>
          </w:p>
        </w:tc>
      </w:tr>
    </w:tbl>
    <w:p w14:paraId="1E3164F7" w14:textId="77777777" w:rsidR="008C047B" w:rsidRPr="008C047B" w:rsidRDefault="008C047B" w:rsidP="008C047B">
      <w:pPr>
        <w:pStyle w:val="Style13"/>
        <w:numPr>
          <w:ilvl w:val="0"/>
          <w:numId w:val="9"/>
        </w:numPr>
        <w:ind w:left="720" w:hanging="288"/>
        <w:rPr>
          <w:rFonts w:ascii="宋体" w:eastAsia="宋体" w:hAnsi="宋体" w:hint="eastAsia"/>
          <w:sz w:val="24"/>
          <w:szCs w:val="24"/>
        </w:rPr>
      </w:pPr>
      <w:r w:rsidRPr="008C047B">
        <w:rPr>
          <w:rFonts w:ascii="宋体" w:eastAsia="宋体" w:hAnsi="宋体"/>
          <w:sz w:val="24"/>
          <w:szCs w:val="24"/>
        </w:rPr>
        <w:t>全国规模：2013年15.82万亿元，2022年50.23万亿元，年均增速14.47%，高于同期GDP增速（6.5%）8个百分点（图1）。</w:t>
      </w:r>
    </w:p>
    <w:p w14:paraId="67FB20A2" w14:textId="77777777" w:rsidR="008C047B" w:rsidRPr="008C047B" w:rsidRDefault="008C047B" w:rsidP="008C047B">
      <w:pPr>
        <w:pStyle w:val="Style13"/>
        <w:numPr>
          <w:ilvl w:val="0"/>
          <w:numId w:val="9"/>
        </w:numPr>
        <w:ind w:left="720" w:hanging="288"/>
        <w:rPr>
          <w:rFonts w:ascii="宋体" w:eastAsia="宋体" w:hAnsi="宋体" w:hint="eastAsia"/>
          <w:sz w:val="24"/>
          <w:szCs w:val="24"/>
        </w:rPr>
      </w:pPr>
      <w:r w:rsidRPr="008C047B">
        <w:rPr>
          <w:rFonts w:ascii="宋体" w:eastAsia="宋体" w:hAnsi="宋体"/>
          <w:sz w:val="24"/>
          <w:szCs w:val="24"/>
        </w:rPr>
        <w:t>区域差异：东部省份（如广东、江苏）占全国总量的62.3%，中西部占28.7%，东北地区占9.0%。2022年广东数字经济规模7.21万亿元（占比14.4%），西藏0.23万亿元，极值比达31:1，变异系数0.65（表1）。</w:t>
      </w:r>
    </w:p>
    <w:p w14:paraId="281FDCF1" w14:textId="77777777" w:rsidR="008C047B" w:rsidRPr="008C047B" w:rsidRDefault="008C047B" w:rsidP="008C047B">
      <w:pPr>
        <w:pStyle w:val="Style13"/>
        <w:numPr>
          <w:ilvl w:val="0"/>
          <w:numId w:val="10"/>
        </w:numPr>
        <w:ind w:left="288" w:hanging="288"/>
        <w:rPr>
          <w:rFonts w:ascii="宋体" w:eastAsia="宋体" w:hAnsi="宋体" w:hint="eastAsia"/>
          <w:sz w:val="24"/>
          <w:szCs w:val="24"/>
        </w:rPr>
      </w:pPr>
      <w:r w:rsidRPr="008C047B">
        <w:rPr>
          <w:rFonts w:ascii="宋体" w:eastAsia="宋体" w:hAnsi="宋体"/>
          <w:sz w:val="24"/>
          <w:szCs w:val="24"/>
        </w:rPr>
        <w:t>空间分布特征：</w:t>
      </w:r>
    </w:p>
    <w:p w14:paraId="696BC737" w14:textId="77777777" w:rsidR="008C047B" w:rsidRPr="008C047B" w:rsidRDefault="008C047B" w:rsidP="008C047B">
      <w:pPr>
        <w:pStyle w:val="Style13"/>
        <w:numPr>
          <w:ilvl w:val="0"/>
          <w:numId w:val="11"/>
        </w:numPr>
        <w:ind w:left="720" w:hanging="288"/>
        <w:rPr>
          <w:rFonts w:ascii="宋体" w:eastAsia="宋体" w:hAnsi="宋体" w:hint="eastAsia"/>
          <w:sz w:val="24"/>
          <w:szCs w:val="24"/>
        </w:rPr>
      </w:pPr>
      <w:r w:rsidRPr="008C047B">
        <w:rPr>
          <w:rFonts w:ascii="宋体" w:eastAsia="宋体" w:hAnsi="宋体"/>
          <w:sz w:val="24"/>
          <w:szCs w:val="24"/>
        </w:rPr>
        <w:t>高值区：形成“珠三角—长三角—京津冀”三大集聚区，2022年三省（广东、江苏、浙江）合计规模占全国35.2%。</w:t>
      </w:r>
    </w:p>
    <w:p w14:paraId="66C675A0" w14:textId="77777777" w:rsidR="008C047B" w:rsidRPr="008C047B" w:rsidRDefault="008C047B" w:rsidP="008C047B">
      <w:pPr>
        <w:pStyle w:val="Style13"/>
        <w:numPr>
          <w:ilvl w:val="0"/>
          <w:numId w:val="11"/>
        </w:numPr>
        <w:ind w:left="720" w:hanging="288"/>
        <w:rPr>
          <w:rFonts w:ascii="宋体" w:eastAsia="宋体" w:hAnsi="宋体" w:hint="eastAsia"/>
          <w:sz w:val="24"/>
          <w:szCs w:val="24"/>
        </w:rPr>
      </w:pPr>
      <w:r w:rsidRPr="008C047B">
        <w:rPr>
          <w:rFonts w:ascii="宋体" w:eastAsia="宋体" w:hAnsi="宋体"/>
          <w:sz w:val="24"/>
          <w:szCs w:val="24"/>
        </w:rPr>
        <w:t>低值区：西藏、青海、宁夏等西部省份受限于数字基础设施薄弱，规模不足东部平均水平的1/20。</w:t>
      </w:r>
    </w:p>
    <w:p w14:paraId="7245004F" w14:textId="77777777" w:rsidR="008C047B" w:rsidRPr="008C047B" w:rsidRDefault="008C047B" w:rsidP="008C047B">
      <w:pPr>
        <w:pStyle w:val="Style13"/>
        <w:numPr>
          <w:ilvl w:val="0"/>
          <w:numId w:val="12"/>
        </w:numPr>
        <w:ind w:left="288" w:hanging="288"/>
        <w:rPr>
          <w:rFonts w:ascii="宋体" w:eastAsia="宋体" w:hAnsi="宋体" w:hint="eastAsia"/>
          <w:sz w:val="24"/>
          <w:szCs w:val="24"/>
        </w:rPr>
      </w:pPr>
      <w:r w:rsidRPr="008C047B">
        <w:rPr>
          <w:rFonts w:ascii="宋体" w:eastAsia="宋体" w:hAnsi="宋体"/>
          <w:sz w:val="24"/>
          <w:szCs w:val="24"/>
        </w:rPr>
        <w:t>指标体系构建（表2）：表2 数字产业化五大领域指标集</w:t>
      </w:r>
    </w:p>
    <w:p w14:paraId="5C29DC98" w14:textId="77777777" w:rsidR="008C047B" w:rsidRPr="008C047B" w:rsidRDefault="008C047B" w:rsidP="008C047B">
      <w:pPr>
        <w:pStyle w:val="Style13"/>
        <w:rPr>
          <w:rFonts w:ascii="宋体" w:eastAsia="宋体" w:hAnsi="宋体"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77"/>
        <w:gridCol w:w="2077"/>
        <w:gridCol w:w="2076"/>
        <w:gridCol w:w="2076"/>
      </w:tblGrid>
      <w:tr w:rsidR="008C047B" w:rsidRPr="008C047B" w14:paraId="26E8411F"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D00A3D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领域</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C9A22CF"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核心指标</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0361F6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单位</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75FF289"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指标性质</w:t>
            </w:r>
          </w:p>
        </w:tc>
      </w:tr>
      <w:tr w:rsidR="008C047B" w:rsidRPr="008C047B" w14:paraId="620BED86"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7170373"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通信业</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8EC2DA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通信业务收入</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7A0B942"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BF0056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4A3D94D5"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EA414DA"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7C0F3F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5G基站数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05C45D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万个</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EF00D5E"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660CE565"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783865F"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BC6BFEE"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移动互联网用户数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2BDEA00"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AC6C1F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5E3A1252"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7C92F7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互联网服务</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C2F48B8"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互联网企业营业收入</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D0575D0"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585848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33D65E35"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4DDC77A"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B3A7E8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网络购物用户数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E1571A4"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7B55DA5"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7E79B161"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1E8D3DF"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C14E9D5"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在线政务用户数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95B3F5B"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C9A81F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1B1DF38F"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D96DAC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lastRenderedPageBreak/>
              <w:t>软件业</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F54374C"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软件业务收入</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CDA3621"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A5B4974"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2A1E09F6"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71577B5"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D9E54E3"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软件从业人员数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E2B652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1D45717"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6028FAE1"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D70FED4"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2ECEA6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软件出口额</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5E92DA9"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亿美元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D8987BC"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161CE732"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F2D83CC"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电子信息制造</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025FED4"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营业收入</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CADDD10"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50684A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06962B48"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DDE36DD"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0EBA3F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集成电路产量</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AFEE35F"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亿块</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F6591C6"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02A57EBE"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A070E2C"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BB77D7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智能手机出货量</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955CD2D"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BACE3A2"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08C95476"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1FBFE0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共享经济</w:t>
            </w: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B4D9642"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交易规模</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A8A3D8A"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亿元</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467AFA0"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3FA51DC8"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EB9E359"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C5394D1"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共享出行用户数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D80D458"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25EF335"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r w:rsidR="008C047B" w:rsidRPr="008C047B" w14:paraId="0BB8F200" w14:textId="77777777" w:rsidTr="00C42826">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C74604B" w14:textId="77777777" w:rsidR="008C047B" w:rsidRPr="008C047B" w:rsidRDefault="008C047B" w:rsidP="00C24DF0">
            <w:pPr>
              <w:pStyle w:val="Style13"/>
              <w:rPr>
                <w:rFonts w:ascii="宋体" w:eastAsia="宋体" w:hAnsi="宋体" w:hint="eastAsia"/>
                <w:sz w:val="24"/>
                <w:szCs w:val="24"/>
              </w:rPr>
            </w:pPr>
          </w:p>
        </w:tc>
        <w:tc>
          <w:tcPr>
            <w:tcW w:w="207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79EE088"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共享住宿用户数</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5189F98"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万人</w:t>
            </w:r>
          </w:p>
        </w:tc>
        <w:tc>
          <w:tcPr>
            <w:tcW w:w="207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CAF4A0F" w14:textId="77777777" w:rsidR="008C047B" w:rsidRPr="008C047B" w:rsidRDefault="008C047B" w:rsidP="00C24DF0">
            <w:pPr>
              <w:pStyle w:val="Style13"/>
              <w:rPr>
                <w:rFonts w:ascii="宋体" w:eastAsia="宋体" w:hAnsi="宋体" w:hint="eastAsia"/>
                <w:sz w:val="24"/>
                <w:szCs w:val="24"/>
              </w:rPr>
            </w:pPr>
            <w:r w:rsidRPr="008C047B">
              <w:rPr>
                <w:rFonts w:ascii="宋体" w:eastAsia="宋体" w:hAnsi="宋体"/>
                <w:sz w:val="24"/>
                <w:szCs w:val="24"/>
              </w:rPr>
              <w:t>正向</w:t>
            </w:r>
          </w:p>
        </w:tc>
      </w:tr>
    </w:tbl>
    <w:p w14:paraId="1C71DF8B" w14:textId="77777777" w:rsidR="002A301A" w:rsidRDefault="002A301A" w:rsidP="00C42826">
      <w:pPr>
        <w:pStyle w:val="Style13"/>
        <w:ind w:left="720"/>
        <w:jc w:val="center"/>
        <w:rPr>
          <w:rFonts w:ascii="黑体" w:eastAsia="黑体" w:hAnsi="黑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30"/>
        <w:gridCol w:w="2092"/>
        <w:gridCol w:w="2092"/>
        <w:gridCol w:w="2092"/>
      </w:tblGrid>
      <w:tr w:rsidR="002A301A" w14:paraId="476ECA99"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7998FC4" w14:textId="77777777" w:rsidR="002A301A" w:rsidRDefault="002A301A" w:rsidP="00520B2F">
            <w:pPr>
              <w:pStyle w:val="Style13"/>
            </w:pP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92D3BDA" w14:textId="77777777" w:rsidR="002A301A" w:rsidRDefault="002A301A" w:rsidP="00520B2F">
            <w:pPr>
              <w:pStyle w:val="Style13"/>
            </w:pPr>
            <w:r>
              <w:t>共享住宿用户数</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75DF862" w14:textId="77777777" w:rsidR="002A301A" w:rsidRDefault="002A301A" w:rsidP="00520B2F">
            <w:pPr>
              <w:pStyle w:val="Style13"/>
            </w:pPr>
            <w:r>
              <w:t>万人</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B0E8772" w14:textId="77777777" w:rsidR="002A301A" w:rsidRDefault="002A301A" w:rsidP="00520B2F">
            <w:pPr>
              <w:pStyle w:val="Style13"/>
            </w:pPr>
            <w:r>
              <w:t>正向</w:t>
            </w:r>
          </w:p>
        </w:tc>
      </w:tr>
    </w:tbl>
    <w:p w14:paraId="005F338A" w14:textId="77777777" w:rsidR="002A301A" w:rsidRPr="002A301A" w:rsidRDefault="002A301A" w:rsidP="002A301A">
      <w:pPr>
        <w:pStyle w:val="Style13"/>
        <w:numPr>
          <w:ilvl w:val="0"/>
          <w:numId w:val="21"/>
        </w:numPr>
        <w:ind w:left="288" w:hanging="288"/>
        <w:rPr>
          <w:rFonts w:ascii="宋体" w:eastAsia="宋体" w:hAnsi="宋体"/>
          <w:sz w:val="24"/>
          <w:szCs w:val="24"/>
        </w:rPr>
      </w:pPr>
      <w:r w:rsidRPr="002A301A">
        <w:rPr>
          <w:rFonts w:ascii="宋体" w:eastAsia="宋体" w:hAnsi="宋体"/>
          <w:b/>
          <w:bCs/>
          <w:sz w:val="24"/>
          <w:szCs w:val="24"/>
        </w:rPr>
        <w:t>效率计算结果</w:t>
      </w:r>
      <w:r w:rsidRPr="002A301A">
        <w:rPr>
          <w:rFonts w:ascii="宋体" w:eastAsia="宋体" w:hAnsi="宋体"/>
          <w:sz w:val="24"/>
          <w:szCs w:val="24"/>
        </w:rPr>
        <w:t>：</w:t>
      </w:r>
    </w:p>
    <w:p w14:paraId="5F48F472" w14:textId="77777777" w:rsidR="002A301A" w:rsidRPr="002A301A" w:rsidRDefault="002A301A" w:rsidP="002A301A">
      <w:pPr>
        <w:pStyle w:val="Style13"/>
        <w:numPr>
          <w:ilvl w:val="0"/>
          <w:numId w:val="22"/>
        </w:numPr>
        <w:ind w:left="720" w:hanging="288"/>
        <w:rPr>
          <w:rFonts w:ascii="宋体" w:eastAsia="宋体" w:hAnsi="宋体"/>
          <w:sz w:val="24"/>
          <w:szCs w:val="24"/>
        </w:rPr>
      </w:pPr>
      <w:r w:rsidRPr="002A301A">
        <w:rPr>
          <w:rFonts w:ascii="宋体" w:eastAsia="宋体" w:hAnsi="宋体"/>
          <w:b/>
          <w:bCs/>
          <w:sz w:val="24"/>
          <w:szCs w:val="24"/>
        </w:rPr>
        <w:t>技术效率（TE）</w:t>
      </w:r>
      <w:r w:rsidRPr="002A301A">
        <w:rPr>
          <w:rFonts w:ascii="宋体" w:eastAsia="宋体" w:hAnsi="宋体"/>
          <w:sz w:val="24"/>
          <w:szCs w:val="24"/>
        </w:rPr>
        <w:t>：东部0.892，中部0.756，西部0.735，表明东部已接近生产前沿面，中西部存在技术无效（图2）。</w:t>
      </w:r>
    </w:p>
    <w:p w14:paraId="0CD6A5EA" w14:textId="77777777" w:rsidR="002A301A" w:rsidRPr="002A301A" w:rsidRDefault="002A301A" w:rsidP="002A301A">
      <w:pPr>
        <w:pStyle w:val="Style13"/>
        <w:numPr>
          <w:ilvl w:val="0"/>
          <w:numId w:val="22"/>
        </w:numPr>
        <w:ind w:left="720" w:hanging="288"/>
        <w:rPr>
          <w:rFonts w:ascii="宋体" w:eastAsia="宋体" w:hAnsi="宋体"/>
          <w:sz w:val="24"/>
          <w:szCs w:val="24"/>
        </w:rPr>
      </w:pPr>
      <w:r w:rsidRPr="002A301A">
        <w:rPr>
          <w:rFonts w:ascii="宋体" w:eastAsia="宋体" w:hAnsi="宋体"/>
          <w:b/>
          <w:bCs/>
          <w:sz w:val="24"/>
          <w:szCs w:val="24"/>
        </w:rPr>
        <w:t>纯技术效率（PTE）</w:t>
      </w:r>
      <w:r w:rsidRPr="002A301A">
        <w:rPr>
          <w:rFonts w:ascii="宋体" w:eastAsia="宋体" w:hAnsi="宋体"/>
          <w:sz w:val="24"/>
          <w:szCs w:val="24"/>
        </w:rPr>
        <w:t>：全国均值0.863，反映管理和技术水平差异，北京、上海PTE=1，处于技术有效状态。</w:t>
      </w:r>
    </w:p>
    <w:p w14:paraId="21A7C479" w14:textId="77777777" w:rsidR="002A301A" w:rsidRPr="002A301A" w:rsidRDefault="002A301A" w:rsidP="002A301A">
      <w:pPr>
        <w:pStyle w:val="Style13"/>
        <w:numPr>
          <w:ilvl w:val="0"/>
          <w:numId w:val="22"/>
        </w:numPr>
        <w:ind w:left="720" w:hanging="288"/>
        <w:rPr>
          <w:rFonts w:ascii="宋体" w:eastAsia="宋体" w:hAnsi="宋体"/>
          <w:sz w:val="24"/>
          <w:szCs w:val="24"/>
        </w:rPr>
      </w:pPr>
      <w:r w:rsidRPr="002A301A">
        <w:rPr>
          <w:rFonts w:ascii="宋体" w:eastAsia="宋体" w:hAnsi="宋体"/>
          <w:b/>
          <w:bCs/>
          <w:sz w:val="24"/>
          <w:szCs w:val="24"/>
        </w:rPr>
        <w:t>规模效率（SE）</w:t>
      </w:r>
      <w:r w:rsidRPr="002A301A">
        <w:rPr>
          <w:rFonts w:ascii="宋体" w:eastAsia="宋体" w:hAnsi="宋体"/>
          <w:sz w:val="24"/>
          <w:szCs w:val="24"/>
        </w:rPr>
        <w:t>：中部SE=0.912，西部SE=0.903，显示中西部产业数字化存在规模报酬递增空间，扩大投入可提升效率。</w:t>
      </w:r>
    </w:p>
    <w:p w14:paraId="3C290DDB" w14:textId="37ED8F2F" w:rsidR="002A301A" w:rsidRPr="002A301A" w:rsidRDefault="002A301A" w:rsidP="002A301A">
      <w:pPr>
        <w:pStyle w:val="3"/>
        <w:rPr>
          <w:rFonts w:ascii="宋体" w:eastAsia="宋体" w:hAnsi="宋体"/>
          <w:sz w:val="24"/>
          <w:szCs w:val="24"/>
        </w:rPr>
      </w:pPr>
      <w:r w:rsidRPr="002A301A">
        <w:rPr>
          <w:rFonts w:ascii="宋体" w:eastAsia="宋体" w:hAnsi="宋体"/>
          <w:color w:val="auto"/>
          <w:sz w:val="24"/>
          <w:szCs w:val="24"/>
        </w:rPr>
        <w:t>数字经济指数合成</w:t>
      </w:r>
    </w:p>
    <w:p w14:paraId="0E05515F"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采用加权平均法构建指数：[</w:t>
      </w:r>
      <w:proofErr w:type="spellStart"/>
      <w:r w:rsidRPr="002A301A">
        <w:rPr>
          <w:rFonts w:ascii="宋体" w:eastAsia="宋体" w:hAnsi="宋体"/>
          <w:sz w:val="24"/>
          <w:szCs w:val="24"/>
        </w:rPr>
        <w:t>E_i^t</w:t>
      </w:r>
      <w:proofErr w:type="spellEnd"/>
      <w:r w:rsidRPr="002A301A">
        <w:rPr>
          <w:rFonts w:ascii="宋体" w:eastAsia="宋体" w:hAnsi="宋体"/>
          <w:sz w:val="24"/>
          <w:szCs w:val="24"/>
        </w:rPr>
        <w:t>=0.6D_i^{</w:t>
      </w:r>
      <w:proofErr w:type="spellStart"/>
      <w:r w:rsidRPr="002A301A">
        <w:rPr>
          <w:rFonts w:ascii="宋体" w:eastAsia="宋体" w:hAnsi="宋体"/>
          <w:sz w:val="24"/>
          <w:szCs w:val="24"/>
        </w:rPr>
        <w:t>ind,t</w:t>
      </w:r>
      <w:proofErr w:type="spellEnd"/>
      <w:r w:rsidRPr="002A301A">
        <w:rPr>
          <w:rFonts w:ascii="宋体" w:eastAsia="宋体" w:hAnsi="宋体"/>
          <w:sz w:val="24"/>
          <w:szCs w:val="24"/>
        </w:rPr>
        <w:t>}+0.4D_i^{</w:t>
      </w:r>
      <w:proofErr w:type="spellStart"/>
      <w:r w:rsidRPr="002A301A">
        <w:rPr>
          <w:rFonts w:ascii="宋体" w:eastAsia="宋体" w:hAnsi="宋体"/>
          <w:sz w:val="24"/>
          <w:szCs w:val="24"/>
        </w:rPr>
        <w:t>app,t</w:t>
      </w:r>
      <w:proofErr w:type="spellEnd"/>
      <w:r w:rsidRPr="002A301A">
        <w:rPr>
          <w:rFonts w:ascii="宋体" w:eastAsia="宋体" w:hAnsi="宋体"/>
          <w:sz w:val="24"/>
          <w:szCs w:val="24"/>
        </w:rPr>
        <w:t>}</w:t>
      </w:r>
    </w:p>
    <w:p w14:paraId="629256DC" w14:textId="77777777" w:rsidR="002A301A" w:rsidRDefault="002A301A" w:rsidP="002A301A">
      <w:pPr>
        <w:pStyle w:val="Style13"/>
        <w:rPr>
          <w:rFonts w:ascii="宋体" w:eastAsia="宋体" w:hAnsi="宋体"/>
          <w:sz w:val="24"/>
          <w:szCs w:val="24"/>
        </w:rPr>
      </w:pPr>
      <w:r w:rsidRPr="002A301A">
        <w:rPr>
          <w:rFonts w:ascii="宋体" w:eastAsia="宋体" w:hAnsi="宋体"/>
          <w:sz w:val="24"/>
          <w:szCs w:val="24"/>
        </w:rPr>
        <w:t xml:space="preserve">]其中( </w:t>
      </w:r>
      <w:proofErr w:type="spellStart"/>
      <w:r w:rsidRPr="002A301A">
        <w:rPr>
          <w:rFonts w:ascii="宋体" w:eastAsia="宋体" w:hAnsi="宋体"/>
          <w:sz w:val="24"/>
          <w:szCs w:val="24"/>
        </w:rPr>
        <w:t>D_i</w:t>
      </w:r>
      <w:proofErr w:type="spellEnd"/>
      <w:r w:rsidRPr="002A301A">
        <w:rPr>
          <w:rFonts w:ascii="宋体" w:eastAsia="宋体" w:hAnsi="宋体"/>
          <w:sz w:val="24"/>
          <w:szCs w:val="24"/>
        </w:rPr>
        <w:t>^{</w:t>
      </w:r>
      <w:proofErr w:type="spellStart"/>
      <w:r w:rsidRPr="002A301A">
        <w:rPr>
          <w:rFonts w:ascii="宋体" w:eastAsia="宋体" w:hAnsi="宋体"/>
          <w:sz w:val="24"/>
          <w:szCs w:val="24"/>
        </w:rPr>
        <w:t>ind,t</w:t>
      </w:r>
      <w:proofErr w:type="spellEnd"/>
      <w:r w:rsidRPr="002A301A">
        <w:rPr>
          <w:rFonts w:ascii="宋体" w:eastAsia="宋体" w:hAnsi="宋体"/>
          <w:sz w:val="24"/>
          <w:szCs w:val="24"/>
        </w:rPr>
        <w:t xml:space="preserve">} )为数字产业化规模指数，( </w:t>
      </w:r>
      <w:proofErr w:type="spellStart"/>
      <w:r w:rsidRPr="002A301A">
        <w:rPr>
          <w:rFonts w:ascii="宋体" w:eastAsia="宋体" w:hAnsi="宋体"/>
          <w:sz w:val="24"/>
          <w:szCs w:val="24"/>
        </w:rPr>
        <w:t>D_i</w:t>
      </w:r>
      <w:proofErr w:type="spellEnd"/>
      <w:r w:rsidRPr="002A301A">
        <w:rPr>
          <w:rFonts w:ascii="宋体" w:eastAsia="宋体" w:hAnsi="宋体"/>
          <w:sz w:val="24"/>
          <w:szCs w:val="24"/>
        </w:rPr>
        <w:t>^{</w:t>
      </w:r>
      <w:proofErr w:type="spellStart"/>
      <w:r w:rsidRPr="002A301A">
        <w:rPr>
          <w:rFonts w:ascii="宋体" w:eastAsia="宋体" w:hAnsi="宋体"/>
          <w:sz w:val="24"/>
          <w:szCs w:val="24"/>
        </w:rPr>
        <w:t>app,t</w:t>
      </w:r>
      <w:proofErr w:type="spellEnd"/>
      <w:r w:rsidRPr="002A301A">
        <w:rPr>
          <w:rFonts w:ascii="宋体" w:eastAsia="宋体" w:hAnsi="宋体"/>
          <w:sz w:val="24"/>
          <w:szCs w:val="24"/>
        </w:rPr>
        <w:t>} )为产业数字化效率指数（经标准化处理）。2022年全国指数均值0.854，广东1.421，西藏0.317，指数差距与规模分布一致。</w:t>
      </w:r>
    </w:p>
    <w:p w14:paraId="4F6C9EBB" w14:textId="29EC1FF2"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影响因素多元回归分析</w:t>
      </w:r>
    </w:p>
    <w:p w14:paraId="15124E2B" w14:textId="77777777" w:rsidR="002A301A" w:rsidRPr="002A301A" w:rsidRDefault="002A301A" w:rsidP="002A301A">
      <w:pPr>
        <w:pStyle w:val="Style13"/>
        <w:numPr>
          <w:ilvl w:val="0"/>
          <w:numId w:val="23"/>
        </w:numPr>
        <w:ind w:left="288" w:hanging="288"/>
        <w:rPr>
          <w:rFonts w:ascii="宋体" w:eastAsia="宋体" w:hAnsi="宋体"/>
          <w:sz w:val="24"/>
          <w:szCs w:val="24"/>
        </w:rPr>
      </w:pPr>
      <w:r w:rsidRPr="002A301A">
        <w:rPr>
          <w:rFonts w:ascii="宋体" w:eastAsia="宋体" w:hAnsi="宋体"/>
          <w:b/>
          <w:bCs/>
          <w:sz w:val="24"/>
          <w:szCs w:val="24"/>
        </w:rPr>
        <w:lastRenderedPageBreak/>
        <w:t>变量筛选</w:t>
      </w:r>
      <w:r w:rsidRPr="002A301A">
        <w:rPr>
          <w:rFonts w:ascii="宋体" w:eastAsia="宋体" w:hAnsi="宋体"/>
          <w:sz w:val="24"/>
          <w:szCs w:val="24"/>
        </w:rPr>
        <w:t>：经VIF检验（VIF&lt;5），最终纳入模型的变量为：研发投入强度（( Z_1 )）、互联网普及率（( Z_2 )）、政策支持力度（( Z_3 )）、固定宽带普及率（( Z_4 )）。</w:t>
      </w:r>
    </w:p>
    <w:p w14:paraId="7A4D801D" w14:textId="77777777" w:rsidR="002A301A" w:rsidRPr="002A301A" w:rsidRDefault="002A301A" w:rsidP="002A301A">
      <w:pPr>
        <w:pStyle w:val="Style13"/>
        <w:numPr>
          <w:ilvl w:val="0"/>
          <w:numId w:val="23"/>
        </w:numPr>
        <w:ind w:left="288" w:hanging="288"/>
        <w:rPr>
          <w:rFonts w:ascii="宋体" w:eastAsia="宋体" w:hAnsi="宋体"/>
          <w:sz w:val="24"/>
          <w:szCs w:val="24"/>
        </w:rPr>
      </w:pPr>
      <w:r w:rsidRPr="002A301A">
        <w:rPr>
          <w:rFonts w:ascii="宋体" w:eastAsia="宋体" w:hAnsi="宋体"/>
          <w:b/>
          <w:bCs/>
          <w:sz w:val="24"/>
          <w:szCs w:val="24"/>
        </w:rPr>
        <w:t>模型构建</w:t>
      </w:r>
      <w:r w:rsidRPr="002A301A">
        <w:rPr>
          <w:rFonts w:ascii="宋体" w:eastAsia="宋体" w:hAnsi="宋体"/>
          <w:sz w:val="24"/>
          <w:szCs w:val="24"/>
        </w:rPr>
        <w:t>：[E_i^t=\beta_0+\beta_1Z_{i1}^t+\beta_2Z_{i2}^t+\beta_3Z_{i3}^t+\beta_4Z_{i4}^t+\mu_{it}]采用固定效应模型，通过Stata 16.0回归得（表5）：</w:t>
      </w:r>
    </w:p>
    <w:p w14:paraId="0A38D718" w14:textId="77777777" w:rsidR="002A301A" w:rsidRPr="002A301A" w:rsidRDefault="002A301A" w:rsidP="002A301A">
      <w:pPr>
        <w:pStyle w:val="Style13"/>
        <w:rPr>
          <w:rFonts w:ascii="宋体" w:eastAsia="宋体" w:hAnsi="宋体"/>
          <w:sz w:val="24"/>
          <w:szCs w:val="24"/>
        </w:rPr>
      </w:pPr>
      <w:r w:rsidRPr="002A301A">
        <w:rPr>
          <w:rFonts w:ascii="宋体" w:eastAsia="宋体" w:hAnsi="宋体"/>
          <w:b/>
          <w:bCs/>
          <w:sz w:val="24"/>
          <w:szCs w:val="24"/>
        </w:rPr>
        <w:t>表5 多元回归结果</w:t>
      </w:r>
    </w:p>
    <w:p w14:paraId="41A05F41" w14:textId="77777777" w:rsidR="002A301A" w:rsidRPr="002A301A" w:rsidRDefault="002A301A" w:rsidP="002A301A">
      <w:pPr>
        <w:pStyle w:val="Style13"/>
        <w:rPr>
          <w:rFonts w:ascii="宋体" w:eastAsia="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2"/>
        <w:gridCol w:w="1292"/>
        <w:gridCol w:w="1293"/>
        <w:gridCol w:w="1293"/>
        <w:gridCol w:w="1293"/>
        <w:gridCol w:w="1293"/>
      </w:tblGrid>
      <w:tr w:rsidR="002A301A" w:rsidRPr="002A301A" w14:paraId="30B9E28D"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073088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变量</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81BA4B9"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系数</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78B1A15"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标准误</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E747F68"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t值</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6488249"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p值</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6BB0BA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VIF</w:t>
            </w:r>
          </w:p>
        </w:tc>
      </w:tr>
      <w:tr w:rsidR="002A301A" w:rsidRPr="002A301A" w14:paraId="388534AC"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635048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研发投入强度（( Z_1 )）</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AFA9511"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0.715</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A357C9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0.123</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0F9E81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5.81</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E4A0436"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0.000</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890727E"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1.87</w:t>
            </w:r>
          </w:p>
        </w:tc>
      </w:tr>
      <w:tr w:rsidR="002A301A" w:rsidRPr="002A301A" w14:paraId="76467BD3"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9428FB6"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互联网普及率（( Z_2 )）</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990222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0.548</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97B986C"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0.098</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593480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5.59</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E3F9B8C"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0.000</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93F23A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1.65</w:t>
            </w:r>
          </w:p>
        </w:tc>
      </w:tr>
      <w:tr w:rsidR="002A301A" w:rsidRPr="002A301A" w14:paraId="22BD5A34"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9095188"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政策支持力度（( Z_3 )）</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58975E5"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0.302</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57CA177"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0.131</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94B32D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2.30</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4E93493"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0.024</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192AB2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1.72</w:t>
            </w:r>
          </w:p>
        </w:tc>
      </w:tr>
      <w:tr w:rsidR="002A301A" w:rsidRPr="002A301A" w14:paraId="1E343F15"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53A3EC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固定宽带普及率（( Z_4 )）</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6863EFE"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0.187</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72B57AF"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0.085</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4CFC45E"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2.20</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1AD244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0.030</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A55F211"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1.58</w:t>
            </w:r>
          </w:p>
        </w:tc>
      </w:tr>
      <w:tr w:rsidR="002A301A" w:rsidRPr="002A301A" w14:paraId="5B15511C"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564D85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常数项</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8CCD8B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-0.324</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5A31DD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0.156</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DBD1C92"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-2.08</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AFDE7D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0.041</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9B475BB"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w:t>
            </w:r>
          </w:p>
        </w:tc>
      </w:tr>
      <w:tr w:rsidR="002A301A" w:rsidRPr="002A301A" w14:paraId="3CC20AB8" w14:textId="77777777" w:rsidTr="00520B2F">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BD598A1"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R²</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C4D4330"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0.892</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2B175517"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调整R²</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928263A"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0.887</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44F54DD"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F值</w:t>
            </w:r>
          </w:p>
        </w:tc>
        <w:tc>
          <w:tcPr>
            <w:tcW w:w="276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2777B4E" w14:textId="77777777" w:rsidR="002A301A" w:rsidRPr="002A301A" w:rsidRDefault="002A301A" w:rsidP="00520B2F">
            <w:pPr>
              <w:pStyle w:val="Style13"/>
              <w:rPr>
                <w:rFonts w:ascii="宋体" w:eastAsia="宋体" w:hAnsi="宋体"/>
                <w:sz w:val="24"/>
                <w:szCs w:val="24"/>
              </w:rPr>
            </w:pPr>
            <w:r w:rsidRPr="002A301A">
              <w:rPr>
                <w:rFonts w:ascii="宋体" w:eastAsia="宋体" w:hAnsi="宋体"/>
                <w:sz w:val="24"/>
                <w:szCs w:val="24"/>
              </w:rPr>
              <w:t>189.5</w:t>
            </w:r>
          </w:p>
        </w:tc>
      </w:tr>
    </w:tbl>
    <w:p w14:paraId="7B221533" w14:textId="77777777" w:rsidR="002A301A" w:rsidRPr="002A301A" w:rsidRDefault="002A301A" w:rsidP="002A301A">
      <w:pPr>
        <w:pStyle w:val="Style13"/>
        <w:numPr>
          <w:ilvl w:val="0"/>
          <w:numId w:val="24"/>
        </w:numPr>
        <w:ind w:left="288" w:hanging="288"/>
        <w:rPr>
          <w:rFonts w:ascii="宋体" w:eastAsia="宋体" w:hAnsi="宋体"/>
          <w:sz w:val="24"/>
          <w:szCs w:val="24"/>
        </w:rPr>
      </w:pPr>
      <w:r w:rsidRPr="002A301A">
        <w:rPr>
          <w:rFonts w:ascii="宋体" w:eastAsia="宋体" w:hAnsi="宋体"/>
          <w:b/>
          <w:bCs/>
          <w:sz w:val="24"/>
          <w:szCs w:val="24"/>
        </w:rPr>
        <w:t>结果解读</w:t>
      </w:r>
      <w:r w:rsidRPr="002A301A">
        <w:rPr>
          <w:rFonts w:ascii="宋体" w:eastAsia="宋体" w:hAnsi="宋体"/>
          <w:sz w:val="24"/>
          <w:szCs w:val="24"/>
        </w:rPr>
        <w:t>：</w:t>
      </w:r>
    </w:p>
    <w:p w14:paraId="65944CFF"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研发投入强度每提升1%，数字经济指数提高0.715，表明技术创新是核心驱动力。</w:t>
      </w:r>
    </w:p>
    <w:p w14:paraId="055ABC11"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互联网普及率每提升10%，指数提高0.548，反映基础设施的支撑作用。</w:t>
      </w:r>
    </w:p>
    <w:p w14:paraId="04ED7B19"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政策支持力度通过虚拟变量（政策数≥5项为1，否则为0）量化，显示政策驱动效应显著。</w:t>
      </w:r>
    </w:p>
    <w:p w14:paraId="259813EC" w14:textId="64E167D7" w:rsidR="002A301A" w:rsidRPr="002A301A" w:rsidRDefault="002A301A" w:rsidP="002A301A">
      <w:pPr>
        <w:pStyle w:val="2"/>
        <w:rPr>
          <w:rFonts w:ascii="宋体" w:eastAsia="宋体" w:hAnsi="宋体"/>
          <w:color w:val="auto"/>
          <w:sz w:val="24"/>
          <w:szCs w:val="24"/>
        </w:rPr>
      </w:pPr>
      <w:r w:rsidRPr="002A301A">
        <w:rPr>
          <w:rFonts w:ascii="宋体" w:eastAsia="宋体" w:hAnsi="宋体"/>
          <w:color w:val="auto"/>
          <w:sz w:val="24"/>
          <w:szCs w:val="24"/>
        </w:rPr>
        <w:lastRenderedPageBreak/>
        <w:t>模型检验</w:t>
      </w:r>
    </w:p>
    <w:p w14:paraId="56411428" w14:textId="77777777" w:rsidR="002A301A" w:rsidRPr="002A301A" w:rsidRDefault="002A301A" w:rsidP="002A301A">
      <w:pPr>
        <w:pStyle w:val="3"/>
        <w:rPr>
          <w:rFonts w:ascii="宋体" w:eastAsia="宋体" w:hAnsi="宋体"/>
          <w:color w:val="auto"/>
          <w:sz w:val="24"/>
          <w:szCs w:val="24"/>
        </w:rPr>
      </w:pPr>
      <w:r w:rsidRPr="002A301A">
        <w:rPr>
          <w:rFonts w:ascii="宋体" w:eastAsia="宋体" w:hAnsi="宋体"/>
          <w:color w:val="auto"/>
          <w:sz w:val="24"/>
          <w:szCs w:val="24"/>
        </w:rPr>
        <w:t>（一）拟合优度检验</w:t>
      </w:r>
    </w:p>
    <w:p w14:paraId="19AF310E"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模型R²=0.892，调整R²=0.887，说明88.7%的数字经济指数变化可由解释变量解释，拟合效果优异。残差直方图显示正态分布（图3），满足线性回归假设。</w:t>
      </w:r>
    </w:p>
    <w:p w14:paraId="70F9967D" w14:textId="77777777" w:rsidR="002A301A" w:rsidRPr="002A301A" w:rsidRDefault="002A301A" w:rsidP="002A301A">
      <w:pPr>
        <w:pStyle w:val="3"/>
        <w:rPr>
          <w:rFonts w:ascii="宋体" w:eastAsia="宋体" w:hAnsi="宋体"/>
          <w:color w:val="auto"/>
          <w:sz w:val="24"/>
          <w:szCs w:val="24"/>
        </w:rPr>
      </w:pPr>
      <w:r w:rsidRPr="002A301A">
        <w:rPr>
          <w:rFonts w:ascii="宋体" w:eastAsia="宋体" w:hAnsi="宋体"/>
          <w:color w:val="auto"/>
          <w:sz w:val="24"/>
          <w:szCs w:val="24"/>
        </w:rPr>
        <w:t>（二）显著性检验</w:t>
      </w:r>
    </w:p>
    <w:p w14:paraId="320F204A" w14:textId="77777777" w:rsidR="002A301A" w:rsidRPr="002A301A" w:rsidRDefault="002A301A" w:rsidP="002A301A">
      <w:pPr>
        <w:pStyle w:val="Style13"/>
        <w:rPr>
          <w:rFonts w:ascii="宋体" w:eastAsia="宋体" w:hAnsi="宋体"/>
          <w:sz w:val="24"/>
          <w:szCs w:val="24"/>
        </w:rPr>
      </w:pPr>
      <w:r w:rsidRPr="002A301A">
        <w:rPr>
          <w:rFonts w:ascii="宋体" w:eastAsia="宋体" w:hAnsi="宋体"/>
          <w:sz w:val="24"/>
          <w:szCs w:val="24"/>
        </w:rPr>
        <w:t>所有核心变量均通过p&lt;0.05显著性检验，F值=189.5（p&lt;0.001），表明模型整体显著性强。</w:t>
      </w:r>
    </w:p>
    <w:p w14:paraId="0956797F" w14:textId="77777777" w:rsidR="002A301A" w:rsidRPr="002A301A" w:rsidRDefault="002A301A" w:rsidP="002A301A">
      <w:pPr>
        <w:pStyle w:val="3"/>
        <w:rPr>
          <w:rFonts w:ascii="宋体" w:eastAsia="宋体" w:hAnsi="宋体"/>
          <w:color w:val="auto"/>
          <w:sz w:val="24"/>
          <w:szCs w:val="24"/>
        </w:rPr>
      </w:pPr>
      <w:r w:rsidRPr="002A301A">
        <w:rPr>
          <w:rFonts w:ascii="宋体" w:eastAsia="宋体" w:hAnsi="宋体"/>
          <w:color w:val="auto"/>
          <w:sz w:val="24"/>
          <w:szCs w:val="24"/>
        </w:rPr>
        <w:t>（三）稳健性检验</w:t>
      </w:r>
    </w:p>
    <w:p w14:paraId="557FC2F8" w14:textId="77777777" w:rsidR="002A301A" w:rsidRPr="002A301A" w:rsidRDefault="002A301A" w:rsidP="002A301A">
      <w:pPr>
        <w:pStyle w:val="Style13"/>
        <w:numPr>
          <w:ilvl w:val="0"/>
          <w:numId w:val="26"/>
        </w:numPr>
        <w:ind w:left="288" w:hanging="288"/>
        <w:rPr>
          <w:rFonts w:ascii="宋体" w:eastAsia="宋体" w:hAnsi="宋体"/>
          <w:sz w:val="24"/>
          <w:szCs w:val="24"/>
        </w:rPr>
      </w:pPr>
      <w:r w:rsidRPr="002A301A">
        <w:rPr>
          <w:rFonts w:ascii="宋体" w:eastAsia="宋体" w:hAnsi="宋体"/>
          <w:b/>
          <w:bCs/>
          <w:sz w:val="24"/>
          <w:szCs w:val="24"/>
        </w:rPr>
        <w:t>指标替换</w:t>
      </w:r>
      <w:r w:rsidRPr="002A301A">
        <w:rPr>
          <w:rFonts w:ascii="宋体" w:eastAsia="宋体" w:hAnsi="宋体"/>
          <w:sz w:val="24"/>
          <w:szCs w:val="24"/>
        </w:rPr>
        <w:t>：用“数字经济核心产业就业人数”替代“软件从业人员数”，回归系数波动&lt;4%，符号一致。</w:t>
      </w:r>
    </w:p>
    <w:p w14:paraId="4E8A5740" w14:textId="77777777" w:rsidR="002A301A" w:rsidRPr="002A301A" w:rsidRDefault="002A301A" w:rsidP="002A301A">
      <w:pPr>
        <w:pStyle w:val="Style13"/>
        <w:ind w:left="720"/>
        <w:jc w:val="center"/>
        <w:rPr>
          <w:rFonts w:ascii="宋体" w:eastAsia="宋体" w:hAnsi="宋体"/>
          <w:sz w:val="24"/>
          <w:szCs w:val="24"/>
        </w:rPr>
      </w:pPr>
      <w:r w:rsidRPr="002A301A">
        <w:rPr>
          <w:rFonts w:ascii="宋体" w:eastAsia="宋体" w:hAnsi="宋体"/>
          <w:b/>
          <w:bCs/>
          <w:sz w:val="24"/>
          <w:szCs w:val="24"/>
        </w:rPr>
        <w:t>样本扩展</w:t>
      </w:r>
      <w:r w:rsidRPr="002A301A">
        <w:rPr>
          <w:rFonts w:ascii="宋体" w:eastAsia="宋体" w:hAnsi="宋体"/>
          <w:sz w:val="24"/>
          <w:szCs w:val="24"/>
        </w:rPr>
        <w:t>：纳入2023年初步数据（31省份预估规模），模型R²=0.889，系数稳定性良好</w:t>
      </w:r>
    </w:p>
    <w:p w14:paraId="47F642D8" w14:textId="3D7BB98E" w:rsidR="00C42826" w:rsidRDefault="00C42826" w:rsidP="002A301A">
      <w:pPr>
        <w:pStyle w:val="Style13"/>
        <w:ind w:left="720"/>
        <w:jc w:val="center"/>
        <w:rPr>
          <w:rFonts w:ascii="黑体" w:eastAsia="黑体" w:hAnsi="黑体" w:hint="eastAsia"/>
          <w:sz w:val="28"/>
          <w:szCs w:val="28"/>
        </w:rPr>
      </w:pPr>
      <w:r>
        <w:rPr>
          <w:rFonts w:ascii="黑体" w:eastAsia="黑体" w:hAnsi="黑体" w:hint="eastAsia"/>
          <w:sz w:val="28"/>
          <w:szCs w:val="28"/>
        </w:rPr>
        <w:t>四、模型优点</w:t>
      </w:r>
    </w:p>
    <w:p w14:paraId="35851670" w14:textId="40173ED1" w:rsidR="00C42826" w:rsidRPr="00C42826" w:rsidRDefault="00C42826" w:rsidP="00C42826">
      <w:pPr>
        <w:pStyle w:val="3"/>
        <w:rPr>
          <w:rFonts w:ascii="黑体" w:eastAsia="黑体" w:hAnsi="黑体" w:hint="eastAsia"/>
          <w:color w:val="auto"/>
          <w:sz w:val="28"/>
          <w:szCs w:val="28"/>
        </w:rPr>
      </w:pPr>
    </w:p>
    <w:p w14:paraId="14F386EA" w14:textId="77777777" w:rsidR="00C42826" w:rsidRPr="00C42826" w:rsidRDefault="00C42826" w:rsidP="00C42826">
      <w:pPr>
        <w:pStyle w:val="Style13"/>
        <w:numPr>
          <w:ilvl w:val="0"/>
          <w:numId w:val="18"/>
        </w:numPr>
        <w:ind w:left="288" w:hanging="288"/>
        <w:rPr>
          <w:rFonts w:ascii="宋体" w:eastAsia="宋体" w:hAnsi="宋体" w:hint="eastAsia"/>
          <w:sz w:val="24"/>
          <w:szCs w:val="24"/>
        </w:rPr>
      </w:pPr>
      <w:r w:rsidRPr="00C42826">
        <w:rPr>
          <w:rFonts w:ascii="宋体" w:eastAsia="宋体" w:hAnsi="宋体"/>
          <w:sz w:val="24"/>
          <w:szCs w:val="24"/>
        </w:rPr>
        <w:t>多方法融合：结合熵权法的客观性、DEA模型的效率评估及多元回归的因果分析，形成完整研究框架。</w:t>
      </w:r>
    </w:p>
    <w:p w14:paraId="5D8B7268" w14:textId="77777777" w:rsidR="00C42826" w:rsidRPr="00C42826" w:rsidRDefault="00C42826" w:rsidP="00C42826">
      <w:pPr>
        <w:pStyle w:val="Style13"/>
        <w:numPr>
          <w:ilvl w:val="0"/>
          <w:numId w:val="18"/>
        </w:numPr>
        <w:ind w:left="288" w:hanging="288"/>
        <w:rPr>
          <w:rFonts w:ascii="宋体" w:eastAsia="宋体" w:hAnsi="宋体" w:hint="eastAsia"/>
          <w:sz w:val="24"/>
          <w:szCs w:val="24"/>
        </w:rPr>
      </w:pPr>
      <w:r w:rsidRPr="00C42826">
        <w:rPr>
          <w:rFonts w:ascii="宋体" w:eastAsia="宋体" w:hAnsi="宋体"/>
          <w:sz w:val="24"/>
          <w:szCs w:val="24"/>
        </w:rPr>
        <w:t>数据精细化：覆盖100+细分指标，数据颗粒度至省份年度，确保测算结果的准确性。</w:t>
      </w:r>
    </w:p>
    <w:p w14:paraId="49B0F0D9" w14:textId="77777777" w:rsidR="00C42826" w:rsidRPr="00C42826" w:rsidRDefault="00C42826" w:rsidP="00C42826">
      <w:pPr>
        <w:pStyle w:val="Style13"/>
        <w:numPr>
          <w:ilvl w:val="0"/>
          <w:numId w:val="18"/>
        </w:numPr>
        <w:ind w:left="288" w:hanging="288"/>
        <w:rPr>
          <w:rFonts w:ascii="宋体" w:eastAsia="宋体" w:hAnsi="宋体" w:hint="eastAsia"/>
          <w:sz w:val="24"/>
          <w:szCs w:val="24"/>
        </w:rPr>
      </w:pPr>
      <w:r w:rsidRPr="00C42826">
        <w:rPr>
          <w:rFonts w:ascii="宋体" w:eastAsia="宋体" w:hAnsi="宋体"/>
          <w:sz w:val="24"/>
          <w:szCs w:val="24"/>
        </w:rPr>
        <w:t>政策导向性：识别研发投入、政策支持等可控因素，为政府制定差异化策略提供直接依据。</w:t>
      </w:r>
    </w:p>
    <w:p w14:paraId="5BB5C020" w14:textId="3B181F17" w:rsidR="002A301A" w:rsidRDefault="002A301A" w:rsidP="002A301A">
      <w:pPr>
        <w:pStyle w:val="Style13"/>
      </w:pPr>
      <w:r>
        <w:t>。</w:t>
      </w:r>
    </w:p>
    <w:p w14:paraId="588A7A06" w14:textId="77777777" w:rsidR="007251BD" w:rsidRPr="002A301A" w:rsidRDefault="007251BD" w:rsidP="00C42826">
      <w:pPr>
        <w:pStyle w:val="Style13"/>
        <w:rPr>
          <w:rFonts w:ascii="宋体" w:eastAsia="宋体" w:hAnsi="宋体" w:cs="宋体" w:hint="eastAsia"/>
          <w:sz w:val="24"/>
          <w:szCs w:val="24"/>
        </w:rPr>
      </w:pPr>
    </w:p>
    <w:sectPr w:rsidR="007251BD" w:rsidRPr="002A3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2D88" w14:textId="77777777" w:rsidR="008D6D41" w:rsidRDefault="008D6D41" w:rsidP="00A5699F">
      <w:pPr>
        <w:rPr>
          <w:rFonts w:hint="eastAsia"/>
        </w:rPr>
      </w:pPr>
      <w:r>
        <w:separator/>
      </w:r>
    </w:p>
  </w:endnote>
  <w:endnote w:type="continuationSeparator" w:id="0">
    <w:p w14:paraId="4F18DE18" w14:textId="77777777" w:rsidR="008D6D41" w:rsidRDefault="008D6D41" w:rsidP="00A569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90BF" w14:textId="77777777" w:rsidR="008D6D41" w:rsidRDefault="008D6D41" w:rsidP="00A5699F">
      <w:pPr>
        <w:rPr>
          <w:rFonts w:hint="eastAsia"/>
        </w:rPr>
      </w:pPr>
      <w:r>
        <w:separator/>
      </w:r>
    </w:p>
  </w:footnote>
  <w:footnote w:type="continuationSeparator" w:id="0">
    <w:p w14:paraId="1B96E3F0" w14:textId="77777777" w:rsidR="008D6D41" w:rsidRDefault="008D6D41" w:rsidP="00A569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28973F"/>
    <w:multiLevelType w:val="singleLevel"/>
    <w:tmpl w:val="A028973F"/>
    <w:lvl w:ilvl="0">
      <w:start w:val="1"/>
      <w:numFmt w:val="decimal"/>
      <w:lvlText w:val="%1."/>
      <w:lvlJc w:val="left"/>
      <w:pPr>
        <w:ind w:left="425" w:hanging="425"/>
      </w:pPr>
      <w:rPr>
        <w:rFonts w:hint="default"/>
      </w:rPr>
    </w:lvl>
  </w:abstractNum>
  <w:abstractNum w:abstractNumId="1" w15:restartNumberingAfterBreak="0">
    <w:nsid w:val="AC088031"/>
    <w:multiLevelType w:val="singleLevel"/>
    <w:tmpl w:val="AC088031"/>
    <w:lvl w:ilvl="0">
      <w:start w:val="1"/>
      <w:numFmt w:val="decimal"/>
      <w:lvlText w:val="%1."/>
      <w:lvlJc w:val="left"/>
      <w:pPr>
        <w:ind w:left="425" w:hanging="425"/>
      </w:pPr>
      <w:rPr>
        <w:rFonts w:hint="default"/>
      </w:rPr>
    </w:lvl>
  </w:abstractNum>
  <w:abstractNum w:abstractNumId="2" w15:restartNumberingAfterBreak="0">
    <w:nsid w:val="B5D8860F"/>
    <w:multiLevelType w:val="singleLevel"/>
    <w:tmpl w:val="B5D8860F"/>
    <w:lvl w:ilvl="0">
      <w:start w:val="1"/>
      <w:numFmt w:val="decimal"/>
      <w:lvlText w:val="%1."/>
      <w:lvlJc w:val="left"/>
      <w:pPr>
        <w:ind w:left="425" w:hanging="425"/>
      </w:pPr>
      <w:rPr>
        <w:rFonts w:hint="default"/>
      </w:rPr>
    </w:lvl>
  </w:abstractNum>
  <w:abstractNum w:abstractNumId="3" w15:restartNumberingAfterBreak="0">
    <w:nsid w:val="BB4DBBD9"/>
    <w:multiLevelType w:val="singleLevel"/>
    <w:tmpl w:val="BB4DBBD9"/>
    <w:lvl w:ilvl="0">
      <w:start w:val="1"/>
      <w:numFmt w:val="decimal"/>
      <w:lvlText w:val="%1."/>
      <w:lvlJc w:val="left"/>
      <w:pPr>
        <w:ind w:left="425" w:hanging="425"/>
      </w:pPr>
      <w:rPr>
        <w:rFonts w:hint="default"/>
      </w:rPr>
    </w:lvl>
  </w:abstractNum>
  <w:abstractNum w:abstractNumId="4" w15:restartNumberingAfterBreak="0">
    <w:nsid w:val="CD539453"/>
    <w:multiLevelType w:val="singleLevel"/>
    <w:tmpl w:val="CD539453"/>
    <w:lvl w:ilvl="0">
      <w:start w:val="1"/>
      <w:numFmt w:val="bullet"/>
      <w:lvlText w:val=""/>
      <w:lvlJc w:val="left"/>
      <w:pPr>
        <w:ind w:left="420" w:hanging="420"/>
      </w:pPr>
      <w:rPr>
        <w:rFonts w:ascii="Wingdings" w:hAnsi="Wingdings" w:hint="default"/>
      </w:rPr>
    </w:lvl>
  </w:abstractNum>
  <w:abstractNum w:abstractNumId="5" w15:restartNumberingAfterBreak="0">
    <w:nsid w:val="D3AFBE89"/>
    <w:multiLevelType w:val="singleLevel"/>
    <w:tmpl w:val="D3AFBE89"/>
    <w:lvl w:ilvl="0">
      <w:start w:val="1"/>
      <w:numFmt w:val="decimal"/>
      <w:lvlText w:val="%1."/>
      <w:lvlJc w:val="left"/>
      <w:pPr>
        <w:ind w:left="425" w:hanging="425"/>
      </w:pPr>
      <w:rPr>
        <w:rFonts w:hint="default"/>
      </w:rPr>
    </w:lvl>
  </w:abstractNum>
  <w:abstractNum w:abstractNumId="6" w15:restartNumberingAfterBreak="0">
    <w:nsid w:val="D7C78C56"/>
    <w:multiLevelType w:val="singleLevel"/>
    <w:tmpl w:val="D7C78C56"/>
    <w:lvl w:ilvl="0">
      <w:start w:val="1"/>
      <w:numFmt w:val="bullet"/>
      <w:lvlText w:val=""/>
      <w:lvlJc w:val="left"/>
      <w:pPr>
        <w:ind w:left="420" w:hanging="420"/>
      </w:pPr>
      <w:rPr>
        <w:rFonts w:ascii="Wingdings" w:hAnsi="Wingdings" w:hint="default"/>
      </w:rPr>
    </w:lvl>
  </w:abstractNum>
  <w:abstractNum w:abstractNumId="7" w15:restartNumberingAfterBreak="0">
    <w:nsid w:val="D8E71B76"/>
    <w:multiLevelType w:val="singleLevel"/>
    <w:tmpl w:val="D8E71B76"/>
    <w:lvl w:ilvl="0">
      <w:start w:val="1"/>
      <w:numFmt w:val="decimal"/>
      <w:lvlText w:val="%1."/>
      <w:lvlJc w:val="left"/>
      <w:pPr>
        <w:ind w:left="425" w:hanging="425"/>
      </w:pPr>
      <w:rPr>
        <w:rFonts w:hint="default"/>
      </w:rPr>
    </w:lvl>
  </w:abstractNum>
  <w:abstractNum w:abstractNumId="8" w15:restartNumberingAfterBreak="0">
    <w:nsid w:val="DD1BB398"/>
    <w:multiLevelType w:val="singleLevel"/>
    <w:tmpl w:val="DD1BB398"/>
    <w:lvl w:ilvl="0">
      <w:start w:val="1"/>
      <w:numFmt w:val="decimal"/>
      <w:lvlText w:val="%1."/>
      <w:lvlJc w:val="left"/>
      <w:pPr>
        <w:ind w:left="425" w:hanging="425"/>
      </w:pPr>
      <w:rPr>
        <w:rFonts w:hint="default"/>
      </w:rPr>
    </w:lvl>
  </w:abstractNum>
  <w:abstractNum w:abstractNumId="9" w15:restartNumberingAfterBreak="0">
    <w:nsid w:val="E1BF3966"/>
    <w:multiLevelType w:val="singleLevel"/>
    <w:tmpl w:val="E1BF3966"/>
    <w:lvl w:ilvl="0">
      <w:start w:val="1"/>
      <w:numFmt w:val="bullet"/>
      <w:lvlText w:val=""/>
      <w:lvlJc w:val="left"/>
      <w:pPr>
        <w:ind w:left="420" w:hanging="420"/>
      </w:pPr>
      <w:rPr>
        <w:rFonts w:ascii="Wingdings" w:hAnsi="Wingdings" w:hint="default"/>
      </w:rPr>
    </w:lvl>
  </w:abstractNum>
  <w:abstractNum w:abstractNumId="10" w15:restartNumberingAfterBreak="0">
    <w:nsid w:val="FABDE40C"/>
    <w:multiLevelType w:val="singleLevel"/>
    <w:tmpl w:val="FABDE40C"/>
    <w:lvl w:ilvl="0">
      <w:start w:val="1"/>
      <w:numFmt w:val="bullet"/>
      <w:lvlText w:val=""/>
      <w:lvlJc w:val="left"/>
      <w:pPr>
        <w:ind w:left="420" w:hanging="420"/>
      </w:pPr>
      <w:rPr>
        <w:rFonts w:ascii="Wingdings" w:hAnsi="Wingdings" w:hint="default"/>
      </w:rPr>
    </w:lvl>
  </w:abstractNum>
  <w:abstractNum w:abstractNumId="11" w15:restartNumberingAfterBreak="0">
    <w:nsid w:val="FC66749B"/>
    <w:multiLevelType w:val="singleLevel"/>
    <w:tmpl w:val="FC66749B"/>
    <w:lvl w:ilvl="0">
      <w:start w:val="1"/>
      <w:numFmt w:val="bullet"/>
      <w:lvlText w:val=""/>
      <w:lvlJc w:val="left"/>
      <w:pPr>
        <w:ind w:left="420" w:hanging="420"/>
      </w:pPr>
      <w:rPr>
        <w:rFonts w:ascii="Wingdings" w:hAnsi="Wingdings" w:hint="default"/>
      </w:rPr>
    </w:lvl>
  </w:abstractNum>
  <w:abstractNum w:abstractNumId="12" w15:restartNumberingAfterBreak="0">
    <w:nsid w:val="066899AD"/>
    <w:multiLevelType w:val="singleLevel"/>
    <w:tmpl w:val="066899AD"/>
    <w:lvl w:ilvl="0">
      <w:start w:val="1"/>
      <w:numFmt w:val="decimal"/>
      <w:lvlText w:val="%1."/>
      <w:lvlJc w:val="left"/>
      <w:pPr>
        <w:ind w:left="425" w:hanging="425"/>
      </w:pPr>
      <w:rPr>
        <w:rFonts w:hint="default"/>
      </w:rPr>
    </w:lvl>
  </w:abstractNum>
  <w:abstractNum w:abstractNumId="13" w15:restartNumberingAfterBreak="0">
    <w:nsid w:val="2780C615"/>
    <w:multiLevelType w:val="singleLevel"/>
    <w:tmpl w:val="2780C615"/>
    <w:lvl w:ilvl="0">
      <w:start w:val="1"/>
      <w:numFmt w:val="decimal"/>
      <w:lvlText w:val="%1."/>
      <w:lvlJc w:val="left"/>
      <w:pPr>
        <w:ind w:left="425" w:hanging="425"/>
      </w:pPr>
      <w:rPr>
        <w:rFonts w:hint="default"/>
      </w:rPr>
    </w:lvl>
  </w:abstractNum>
  <w:abstractNum w:abstractNumId="14" w15:restartNumberingAfterBreak="0">
    <w:nsid w:val="2DCA1E92"/>
    <w:multiLevelType w:val="singleLevel"/>
    <w:tmpl w:val="2DCA1E92"/>
    <w:lvl w:ilvl="0">
      <w:start w:val="1"/>
      <w:numFmt w:val="decimal"/>
      <w:lvlText w:val="%1."/>
      <w:lvlJc w:val="left"/>
      <w:pPr>
        <w:ind w:left="425" w:hanging="425"/>
      </w:pPr>
      <w:rPr>
        <w:rFonts w:hint="default"/>
      </w:rPr>
    </w:lvl>
  </w:abstractNum>
  <w:abstractNum w:abstractNumId="15" w15:restartNumberingAfterBreak="0">
    <w:nsid w:val="30A3CA66"/>
    <w:multiLevelType w:val="singleLevel"/>
    <w:tmpl w:val="30A3CA66"/>
    <w:lvl w:ilvl="0">
      <w:start w:val="1"/>
      <w:numFmt w:val="decimal"/>
      <w:lvlText w:val="%1."/>
      <w:lvlJc w:val="left"/>
      <w:pPr>
        <w:ind w:left="425" w:hanging="425"/>
      </w:pPr>
      <w:rPr>
        <w:rFonts w:hint="default"/>
      </w:rPr>
    </w:lvl>
  </w:abstractNum>
  <w:abstractNum w:abstractNumId="16" w15:restartNumberingAfterBreak="0">
    <w:nsid w:val="352CEB74"/>
    <w:multiLevelType w:val="singleLevel"/>
    <w:tmpl w:val="352CEB74"/>
    <w:lvl w:ilvl="0">
      <w:start w:val="1"/>
      <w:numFmt w:val="decimal"/>
      <w:lvlText w:val="%1."/>
      <w:lvlJc w:val="left"/>
      <w:pPr>
        <w:ind w:left="425" w:hanging="425"/>
      </w:pPr>
      <w:rPr>
        <w:rFonts w:hint="default"/>
      </w:rPr>
    </w:lvl>
  </w:abstractNum>
  <w:abstractNum w:abstractNumId="17" w15:restartNumberingAfterBreak="0">
    <w:nsid w:val="36349B7F"/>
    <w:multiLevelType w:val="singleLevel"/>
    <w:tmpl w:val="36349B7F"/>
    <w:lvl w:ilvl="0">
      <w:start w:val="1"/>
      <w:numFmt w:val="bullet"/>
      <w:lvlText w:val=""/>
      <w:lvlJc w:val="left"/>
      <w:pPr>
        <w:ind w:left="420" w:hanging="420"/>
      </w:pPr>
      <w:rPr>
        <w:rFonts w:ascii="Wingdings" w:hAnsi="Wingdings" w:hint="default"/>
      </w:rPr>
    </w:lvl>
  </w:abstractNum>
  <w:abstractNum w:abstractNumId="18" w15:restartNumberingAfterBreak="0">
    <w:nsid w:val="3681A157"/>
    <w:multiLevelType w:val="singleLevel"/>
    <w:tmpl w:val="3681A157"/>
    <w:lvl w:ilvl="0">
      <w:start w:val="1"/>
      <w:numFmt w:val="decimal"/>
      <w:lvlText w:val="%1."/>
      <w:lvlJc w:val="left"/>
      <w:pPr>
        <w:ind w:left="425" w:hanging="425"/>
      </w:pPr>
      <w:rPr>
        <w:rFonts w:hint="default"/>
      </w:rPr>
    </w:lvl>
  </w:abstractNum>
  <w:abstractNum w:abstractNumId="19" w15:restartNumberingAfterBreak="0">
    <w:nsid w:val="37087B2A"/>
    <w:multiLevelType w:val="hybridMultilevel"/>
    <w:tmpl w:val="19D0B0A8"/>
    <w:lvl w:ilvl="0" w:tplc="C2D871A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811704"/>
    <w:multiLevelType w:val="hybridMultilevel"/>
    <w:tmpl w:val="549C429E"/>
    <w:lvl w:ilvl="0" w:tplc="12D4B32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4F22E62"/>
    <w:multiLevelType w:val="singleLevel"/>
    <w:tmpl w:val="44F22E62"/>
    <w:lvl w:ilvl="0">
      <w:start w:val="1"/>
      <w:numFmt w:val="decimal"/>
      <w:lvlText w:val="%1."/>
      <w:lvlJc w:val="left"/>
      <w:pPr>
        <w:ind w:left="425" w:hanging="425"/>
      </w:pPr>
      <w:rPr>
        <w:rFonts w:hint="default"/>
      </w:rPr>
    </w:lvl>
  </w:abstractNum>
  <w:abstractNum w:abstractNumId="22" w15:restartNumberingAfterBreak="0">
    <w:nsid w:val="4A23F59F"/>
    <w:multiLevelType w:val="singleLevel"/>
    <w:tmpl w:val="4A23F59F"/>
    <w:lvl w:ilvl="0">
      <w:start w:val="1"/>
      <w:numFmt w:val="bullet"/>
      <w:lvlText w:val=""/>
      <w:lvlJc w:val="left"/>
      <w:pPr>
        <w:ind w:left="420" w:hanging="420"/>
      </w:pPr>
      <w:rPr>
        <w:rFonts w:ascii="Wingdings" w:hAnsi="Wingdings" w:hint="default"/>
      </w:rPr>
    </w:lvl>
  </w:abstractNum>
  <w:abstractNum w:abstractNumId="23" w15:restartNumberingAfterBreak="0">
    <w:nsid w:val="56622576"/>
    <w:multiLevelType w:val="singleLevel"/>
    <w:tmpl w:val="56622576"/>
    <w:lvl w:ilvl="0">
      <w:start w:val="1"/>
      <w:numFmt w:val="bullet"/>
      <w:lvlText w:val=""/>
      <w:lvlJc w:val="left"/>
      <w:pPr>
        <w:ind w:left="420" w:hanging="420"/>
      </w:pPr>
      <w:rPr>
        <w:rFonts w:ascii="Wingdings" w:hAnsi="Wingdings" w:hint="default"/>
      </w:rPr>
    </w:lvl>
  </w:abstractNum>
  <w:abstractNum w:abstractNumId="24" w15:restartNumberingAfterBreak="0">
    <w:nsid w:val="59ADCABA"/>
    <w:multiLevelType w:val="multilevel"/>
    <w:tmpl w:val="59ADCABA"/>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091B25"/>
    <w:multiLevelType w:val="singleLevel"/>
    <w:tmpl w:val="7A091B25"/>
    <w:lvl w:ilvl="0">
      <w:start w:val="1"/>
      <w:numFmt w:val="decimal"/>
      <w:lvlText w:val="%1."/>
      <w:lvlJc w:val="left"/>
      <w:pPr>
        <w:ind w:left="425" w:hanging="425"/>
      </w:pPr>
      <w:rPr>
        <w:rFonts w:hint="default"/>
      </w:rPr>
    </w:lvl>
  </w:abstractNum>
  <w:num w:numId="1" w16cid:durableId="71388908">
    <w:abstractNumId w:val="20"/>
  </w:num>
  <w:num w:numId="2" w16cid:durableId="215702686">
    <w:abstractNumId w:val="19"/>
  </w:num>
  <w:num w:numId="3" w16cid:durableId="2136748968">
    <w:abstractNumId w:val="5"/>
  </w:num>
  <w:num w:numId="4" w16cid:durableId="2066948349">
    <w:abstractNumId w:val="3"/>
  </w:num>
  <w:num w:numId="5" w16cid:durableId="1096511728">
    <w:abstractNumId w:val="16"/>
  </w:num>
  <w:num w:numId="6" w16cid:durableId="65156377">
    <w:abstractNumId w:val="11"/>
  </w:num>
  <w:num w:numId="7" w16cid:durableId="267742105">
    <w:abstractNumId w:val="24"/>
    <w:lvlOverride w:ilvl="0">
      <w:startOverride w:val="1"/>
    </w:lvlOverride>
  </w:num>
  <w:num w:numId="8" w16cid:durableId="1342472131">
    <w:abstractNumId w:val="12"/>
  </w:num>
  <w:num w:numId="9" w16cid:durableId="1138180567">
    <w:abstractNumId w:val="23"/>
  </w:num>
  <w:num w:numId="10" w16cid:durableId="1796217717">
    <w:abstractNumId w:val="8"/>
  </w:num>
  <w:num w:numId="11" w16cid:durableId="349139133">
    <w:abstractNumId w:val="22"/>
  </w:num>
  <w:num w:numId="12" w16cid:durableId="1462260417">
    <w:abstractNumId w:val="14"/>
  </w:num>
  <w:num w:numId="13" w16cid:durableId="1331979713">
    <w:abstractNumId w:val="21"/>
  </w:num>
  <w:num w:numId="14" w16cid:durableId="16544035">
    <w:abstractNumId w:val="9"/>
  </w:num>
  <w:num w:numId="15" w16cid:durableId="472991913">
    <w:abstractNumId w:val="4"/>
  </w:num>
  <w:num w:numId="16" w16cid:durableId="1909267464">
    <w:abstractNumId w:val="6"/>
  </w:num>
  <w:num w:numId="17" w16cid:durableId="242227519">
    <w:abstractNumId w:val="7"/>
  </w:num>
  <w:num w:numId="18" w16cid:durableId="1544559782">
    <w:abstractNumId w:val="18"/>
  </w:num>
  <w:num w:numId="19" w16cid:durableId="2072269418">
    <w:abstractNumId w:val="2"/>
  </w:num>
  <w:num w:numId="20" w16cid:durableId="1497458283">
    <w:abstractNumId w:val="0"/>
  </w:num>
  <w:num w:numId="21" w16cid:durableId="408190803">
    <w:abstractNumId w:val="13"/>
  </w:num>
  <w:num w:numId="22" w16cid:durableId="21984557">
    <w:abstractNumId w:val="10"/>
  </w:num>
  <w:num w:numId="23" w16cid:durableId="11030542">
    <w:abstractNumId w:val="1"/>
  </w:num>
  <w:num w:numId="24" w16cid:durableId="1720669004">
    <w:abstractNumId w:val="15"/>
  </w:num>
  <w:num w:numId="25" w16cid:durableId="1393626130">
    <w:abstractNumId w:val="17"/>
  </w:num>
  <w:num w:numId="26" w16cid:durableId="18180659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F2"/>
    <w:rsid w:val="000233C4"/>
    <w:rsid w:val="002A301A"/>
    <w:rsid w:val="0038470C"/>
    <w:rsid w:val="00475637"/>
    <w:rsid w:val="00490F82"/>
    <w:rsid w:val="0050061A"/>
    <w:rsid w:val="00536B83"/>
    <w:rsid w:val="005F16B7"/>
    <w:rsid w:val="00661EF2"/>
    <w:rsid w:val="007251BD"/>
    <w:rsid w:val="00727EBE"/>
    <w:rsid w:val="00786AF6"/>
    <w:rsid w:val="008C047B"/>
    <w:rsid w:val="008D6D41"/>
    <w:rsid w:val="00951D55"/>
    <w:rsid w:val="00A5699F"/>
    <w:rsid w:val="00AB28A7"/>
    <w:rsid w:val="00AC27FE"/>
    <w:rsid w:val="00B1416B"/>
    <w:rsid w:val="00BC107E"/>
    <w:rsid w:val="00BC2935"/>
    <w:rsid w:val="00C42826"/>
    <w:rsid w:val="00C60A0F"/>
    <w:rsid w:val="00CD560E"/>
    <w:rsid w:val="00E7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B4C0"/>
  <w15:chartTrackingRefBased/>
  <w15:docId w15:val="{393DAA37-98E5-48D0-B1E0-7778CD5C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66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66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EF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61EF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E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E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61EF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EF2"/>
    <w:rPr>
      <w:rFonts w:cstheme="majorBidi"/>
      <w:color w:val="2F5496" w:themeColor="accent1" w:themeShade="BF"/>
      <w:sz w:val="28"/>
      <w:szCs w:val="28"/>
    </w:rPr>
  </w:style>
  <w:style w:type="character" w:customStyle="1" w:styleId="50">
    <w:name w:val="标题 5 字符"/>
    <w:basedOn w:val="a0"/>
    <w:link w:val="5"/>
    <w:uiPriority w:val="9"/>
    <w:semiHidden/>
    <w:rsid w:val="00661EF2"/>
    <w:rPr>
      <w:rFonts w:cstheme="majorBidi"/>
      <w:color w:val="2F5496" w:themeColor="accent1" w:themeShade="BF"/>
      <w:sz w:val="24"/>
      <w:szCs w:val="24"/>
    </w:rPr>
  </w:style>
  <w:style w:type="character" w:customStyle="1" w:styleId="60">
    <w:name w:val="标题 6 字符"/>
    <w:basedOn w:val="a0"/>
    <w:link w:val="6"/>
    <w:uiPriority w:val="9"/>
    <w:semiHidden/>
    <w:rsid w:val="00661EF2"/>
    <w:rPr>
      <w:rFonts w:cstheme="majorBidi"/>
      <w:b/>
      <w:bCs/>
      <w:color w:val="2F5496" w:themeColor="accent1" w:themeShade="BF"/>
    </w:rPr>
  </w:style>
  <w:style w:type="character" w:customStyle="1" w:styleId="70">
    <w:name w:val="标题 7 字符"/>
    <w:basedOn w:val="a0"/>
    <w:link w:val="7"/>
    <w:uiPriority w:val="9"/>
    <w:semiHidden/>
    <w:rsid w:val="00661EF2"/>
    <w:rPr>
      <w:rFonts w:cstheme="majorBidi"/>
      <w:b/>
      <w:bCs/>
      <w:color w:val="595959" w:themeColor="text1" w:themeTint="A6"/>
    </w:rPr>
  </w:style>
  <w:style w:type="character" w:customStyle="1" w:styleId="80">
    <w:name w:val="标题 8 字符"/>
    <w:basedOn w:val="a0"/>
    <w:link w:val="8"/>
    <w:uiPriority w:val="9"/>
    <w:semiHidden/>
    <w:rsid w:val="00661EF2"/>
    <w:rPr>
      <w:rFonts w:cstheme="majorBidi"/>
      <w:color w:val="595959" w:themeColor="text1" w:themeTint="A6"/>
    </w:rPr>
  </w:style>
  <w:style w:type="character" w:customStyle="1" w:styleId="90">
    <w:name w:val="标题 9 字符"/>
    <w:basedOn w:val="a0"/>
    <w:link w:val="9"/>
    <w:uiPriority w:val="9"/>
    <w:semiHidden/>
    <w:rsid w:val="00661EF2"/>
    <w:rPr>
      <w:rFonts w:eastAsiaTheme="majorEastAsia" w:cstheme="majorBidi"/>
      <w:color w:val="595959" w:themeColor="text1" w:themeTint="A6"/>
    </w:rPr>
  </w:style>
  <w:style w:type="paragraph" w:styleId="a3">
    <w:name w:val="Title"/>
    <w:basedOn w:val="a"/>
    <w:next w:val="a"/>
    <w:link w:val="a4"/>
    <w:uiPriority w:val="10"/>
    <w:qFormat/>
    <w:rsid w:val="00661E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E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EF2"/>
    <w:pPr>
      <w:spacing w:before="160" w:after="160"/>
      <w:jc w:val="center"/>
    </w:pPr>
    <w:rPr>
      <w:i/>
      <w:iCs/>
      <w:color w:val="404040" w:themeColor="text1" w:themeTint="BF"/>
    </w:rPr>
  </w:style>
  <w:style w:type="character" w:customStyle="1" w:styleId="a8">
    <w:name w:val="引用 字符"/>
    <w:basedOn w:val="a0"/>
    <w:link w:val="a7"/>
    <w:uiPriority w:val="29"/>
    <w:rsid w:val="00661EF2"/>
    <w:rPr>
      <w:i/>
      <w:iCs/>
      <w:color w:val="404040" w:themeColor="text1" w:themeTint="BF"/>
    </w:rPr>
  </w:style>
  <w:style w:type="paragraph" w:styleId="a9">
    <w:name w:val="List Paragraph"/>
    <w:basedOn w:val="a"/>
    <w:uiPriority w:val="34"/>
    <w:qFormat/>
    <w:rsid w:val="00661EF2"/>
    <w:pPr>
      <w:ind w:left="720"/>
      <w:contextualSpacing/>
    </w:pPr>
  </w:style>
  <w:style w:type="character" w:styleId="aa">
    <w:name w:val="Intense Emphasis"/>
    <w:basedOn w:val="a0"/>
    <w:uiPriority w:val="21"/>
    <w:qFormat/>
    <w:rsid w:val="00661EF2"/>
    <w:rPr>
      <w:i/>
      <w:iCs/>
      <w:color w:val="2F5496" w:themeColor="accent1" w:themeShade="BF"/>
    </w:rPr>
  </w:style>
  <w:style w:type="paragraph" w:styleId="ab">
    <w:name w:val="Intense Quote"/>
    <w:basedOn w:val="a"/>
    <w:next w:val="a"/>
    <w:link w:val="ac"/>
    <w:uiPriority w:val="30"/>
    <w:qFormat/>
    <w:rsid w:val="0066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EF2"/>
    <w:rPr>
      <w:i/>
      <w:iCs/>
      <w:color w:val="2F5496" w:themeColor="accent1" w:themeShade="BF"/>
    </w:rPr>
  </w:style>
  <w:style w:type="character" w:styleId="ad">
    <w:name w:val="Intense Reference"/>
    <w:basedOn w:val="a0"/>
    <w:uiPriority w:val="32"/>
    <w:qFormat/>
    <w:rsid w:val="00661EF2"/>
    <w:rPr>
      <w:b/>
      <w:bCs/>
      <w:smallCaps/>
      <w:color w:val="2F5496" w:themeColor="accent1" w:themeShade="BF"/>
      <w:spacing w:val="5"/>
    </w:rPr>
  </w:style>
  <w:style w:type="paragraph" w:styleId="ae">
    <w:name w:val="header"/>
    <w:basedOn w:val="a"/>
    <w:link w:val="af"/>
    <w:uiPriority w:val="99"/>
    <w:unhideWhenUsed/>
    <w:rsid w:val="00A5699F"/>
    <w:pPr>
      <w:tabs>
        <w:tab w:val="center" w:pos="4153"/>
        <w:tab w:val="right" w:pos="8306"/>
      </w:tabs>
      <w:snapToGrid w:val="0"/>
      <w:jc w:val="center"/>
    </w:pPr>
    <w:rPr>
      <w:sz w:val="18"/>
      <w:szCs w:val="18"/>
    </w:rPr>
  </w:style>
  <w:style w:type="character" w:customStyle="1" w:styleId="af">
    <w:name w:val="页眉 字符"/>
    <w:basedOn w:val="a0"/>
    <w:link w:val="ae"/>
    <w:uiPriority w:val="99"/>
    <w:rsid w:val="00A5699F"/>
    <w:rPr>
      <w:sz w:val="18"/>
      <w:szCs w:val="18"/>
    </w:rPr>
  </w:style>
  <w:style w:type="paragraph" w:styleId="af0">
    <w:name w:val="footer"/>
    <w:basedOn w:val="a"/>
    <w:link w:val="af1"/>
    <w:uiPriority w:val="99"/>
    <w:unhideWhenUsed/>
    <w:rsid w:val="00A5699F"/>
    <w:pPr>
      <w:tabs>
        <w:tab w:val="center" w:pos="4153"/>
        <w:tab w:val="right" w:pos="8306"/>
      </w:tabs>
      <w:snapToGrid w:val="0"/>
      <w:jc w:val="left"/>
    </w:pPr>
    <w:rPr>
      <w:sz w:val="18"/>
      <w:szCs w:val="18"/>
    </w:rPr>
  </w:style>
  <w:style w:type="character" w:customStyle="1" w:styleId="af1">
    <w:name w:val="页脚 字符"/>
    <w:basedOn w:val="a0"/>
    <w:link w:val="af0"/>
    <w:uiPriority w:val="99"/>
    <w:rsid w:val="00A5699F"/>
    <w:rPr>
      <w:sz w:val="18"/>
      <w:szCs w:val="18"/>
    </w:rPr>
  </w:style>
  <w:style w:type="paragraph" w:customStyle="1" w:styleId="Style13">
    <w:name w:val="_Style 13"/>
    <w:rsid w:val="007251BD"/>
    <w:pPr>
      <w:spacing w:before="120" w:after="120" w:line="288" w:lineRule="auto"/>
    </w:pPr>
    <w:rPr>
      <w:rFonts w:ascii="Arial" w:eastAsia="等线"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a89200</dc:creator>
  <cp:keywords/>
  <dc:description/>
  <cp:lastModifiedBy>a89200</cp:lastModifiedBy>
  <cp:revision>3</cp:revision>
  <dcterms:created xsi:type="dcterms:W3CDTF">2025-04-12T13:35:00Z</dcterms:created>
  <dcterms:modified xsi:type="dcterms:W3CDTF">2025-04-13T13:36:00Z</dcterms:modified>
</cp:coreProperties>
</file>