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800"/>
      </w:pPr>
      <w:r>
        <w:rPr>
          <w:rFonts w:ascii="Times New Roman" w:hAnsi="Times New Roman" w:eastAsia="黑体"/>
          <w:b/>
          <w:sz w:val="60"/>
        </w:rPr>
        <w:t>软件需求规格说明书</w:t>
      </w:r>
    </w:p>
    <w:p>
      <w:pPr>
        <w:spacing w:after="200"/>
        <w:ind w:firstLine="0"/>
        <w:jc w:val="center"/>
      </w:pPr>
      <w:r>
        <w:rPr>
          <w:rFonts w:ascii="Times New Roman" w:hAnsi="Times New Roman" w:eastAsia="宋体"/>
          <w:b/>
          <w:sz w:val="28"/>
        </w:rPr>
        <w:t>DevPulse 智能问答助手</w:t>
      </w:r>
    </w:p>
    <w:p>
      <w:pPr>
        <w:spacing w:after="200"/>
        <w:ind w:firstLine="0"/>
        <w:jc w:val="center"/>
      </w:pPr>
      <w:r>
        <w:rPr>
          <w:rFonts w:ascii="Times New Roman" w:hAnsi="Times New Roman" w:eastAsia="宋体"/>
          <w:b w:val="0"/>
          <w:sz w:val="28"/>
        </w:rPr>
        <w:t>版本 V1.0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1 文档基本信息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软件名称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DevPulse 智能问答助手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文档名称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软件需求规格说明书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文档版本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V1.0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编写单位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福州大学 2601_FZU_SE《软件工程实践》课程 DevPulse 团队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编写日期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2026 年 10 月 14 日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适用阶段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需求分析与界面原型设计阶段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文档状态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定稿</w:t>
            </w:r>
          </w:p>
        </w:tc>
      </w:tr>
    </w:tbl>
    <w:p>
      <w:pPr>
        <w:spacing w:after="40" w:line="240" w:lineRule="auto"/>
      </w:pP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2 文档修订历史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268"/>
        <w:gridCol w:w="2268"/>
        <w:gridCol w:w="2268"/>
        <w:gridCol w:w="2268"/>
      </w:tblGrid>
      <w:tr>
        <w:trPr>
          <w:cantSplit/>
          <w:tblHeader w:val="true"/>
        </w:trPr>
        <w:tc>
          <w:tcPr>
            <w:tcW w:type="dxa" w:w="16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版本</w:t>
            </w:r>
          </w:p>
        </w:tc>
        <w:tc>
          <w:tcPr>
            <w:tcW w:type="dxa" w:w="19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320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修订说明</w:t>
            </w:r>
          </w:p>
        </w:tc>
        <w:tc>
          <w:tcPr>
            <w:tcW w:type="dxa" w:w="22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修订人</w:t>
            </w:r>
          </w:p>
        </w:tc>
      </w:tr>
      <w:tr>
        <w:trPr>
          <w:cantSplit/>
        </w:trPr>
        <w:tc>
          <w:tcPr>
            <w:tcW w:type="dxa" w:w="16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V0.1</w:t>
            </w:r>
          </w:p>
        </w:tc>
        <w:tc>
          <w:tcPr>
            <w:tcW w:type="dxa" w:w="19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2026-10-10</w:t>
            </w:r>
          </w:p>
        </w:tc>
        <w:tc>
          <w:tcPr>
            <w:tcW w:type="dxa" w:w="320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建立文档框架，完成引言与总体描述</w:t>
            </w:r>
          </w:p>
        </w:tc>
        <w:tc>
          <w:tcPr>
            <w:tcW w:type="dxa" w:w="22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郑宇凌</w:t>
            </w:r>
          </w:p>
        </w:tc>
      </w:tr>
      <w:tr>
        <w:trPr>
          <w:cantSplit/>
        </w:trPr>
        <w:tc>
          <w:tcPr>
            <w:tcW w:type="dxa" w:w="16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V0.2</w:t>
            </w:r>
          </w:p>
        </w:tc>
        <w:tc>
          <w:tcPr>
            <w:tcW w:type="dxa" w:w="19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2026-10-11</w:t>
            </w:r>
          </w:p>
        </w:tc>
        <w:tc>
          <w:tcPr>
            <w:tcW w:type="dxa" w:w="320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补充用户场景、类图与数据需求</w:t>
            </w:r>
          </w:p>
        </w:tc>
        <w:tc>
          <w:tcPr>
            <w:tcW w:type="dxa" w:w="22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郑宇凌、郑栋兴</w:t>
            </w:r>
          </w:p>
        </w:tc>
      </w:tr>
      <w:tr>
        <w:trPr>
          <w:cantSplit/>
        </w:trPr>
        <w:tc>
          <w:tcPr>
            <w:tcW w:type="dxa" w:w="16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V0.3</w:t>
            </w:r>
          </w:p>
        </w:tc>
        <w:tc>
          <w:tcPr>
            <w:tcW w:type="dxa" w:w="19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2026-10-12</w:t>
            </w:r>
          </w:p>
        </w:tc>
        <w:tc>
          <w:tcPr>
            <w:tcW w:type="dxa" w:w="320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补充界面原型、功能描述与验收标准</w:t>
            </w:r>
          </w:p>
        </w:tc>
        <w:tc>
          <w:tcPr>
            <w:tcW w:type="dxa" w:w="22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郑栋兴、陈仕杰</w:t>
            </w:r>
          </w:p>
        </w:tc>
      </w:tr>
      <w:tr>
        <w:trPr>
          <w:cantSplit/>
        </w:trPr>
        <w:tc>
          <w:tcPr>
            <w:tcW w:type="dxa" w:w="16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V1.0</w:t>
            </w:r>
          </w:p>
        </w:tc>
        <w:tc>
          <w:tcPr>
            <w:tcW w:type="dxa" w:w="193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2026-10-14</w:t>
            </w:r>
          </w:p>
        </w:tc>
        <w:tc>
          <w:tcPr>
            <w:tcW w:type="dxa" w:w="320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统一术语与排版，完成全文校对</w:t>
            </w:r>
          </w:p>
        </w:tc>
        <w:tc>
          <w:tcPr>
            <w:tcW w:type="dxa" w:w="22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张幼</w:t>
            </w:r>
          </w:p>
        </w:tc>
      </w:tr>
    </w:tbl>
    <w:p>
      <w:pPr>
        <w:spacing w:after="40" w:line="240" w:lineRule="auto"/>
      </w:pPr>
    </w:p>
    <w:p>
      <w:pPr>
        <w:sectPr>
          <w:pgSz w:w="11906" w:h="16838"/>
          <w:pgMar w:top="1440" w:right="1417" w:bottom="1440" w:left="1417" w:header="850" w:footer="850" w:gutter="0"/>
          <w:cols w:space="720"/>
          <w:titlePg/>
          <w:docGrid w:linePitch="360"/>
        </w:sectPr>
      </w:pPr>
    </w:p>
    <w:p>
      <w:pPr>
        <w:spacing w:after="240"/>
        <w:jc w:val="center"/>
      </w:pPr>
      <w:r>
        <w:rPr>
          <w:rFonts w:ascii="Times New Roman" w:hAnsi="Times New Roman" w:eastAsia="黑体"/>
          <w:b/>
          <w:sz w:val="32"/>
        </w:rPr>
        <w:t>目　录</w:t>
      </w:r>
    </w:p>
    <w:p>
      <w:pPr>
        <w:tabs>
          <w:tab w:pos="9071" w:val="right" w:leader="dot"/>
        </w:tabs>
        <w:spacing w:after="80" w:line="300" w:lineRule="auto" w:before="120"/>
        <w:ind w:firstLine="0" w:left="0"/>
      </w:pPr>
      <w:r>
        <w:rPr>
          <w:rFonts w:ascii="Times New Roman" w:hAnsi="Times New Roman" w:eastAsia="黑体"/>
          <w:b/>
          <w:sz w:val="24"/>
        </w:rPr>
        <w:t>1 引言</w:t>
        <w:tab/>
        <w:t>1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1.1 编写目的</w:t>
        <w:tab/>
        <w:t>1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1.2 项目背景</w:t>
        <w:tab/>
        <w:t>1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1.3 术语、缩写与定义</w:t>
        <w:tab/>
        <w:t>2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1.4 参考资料</w:t>
        <w:tab/>
        <w:t>3</w:t>
      </w:r>
    </w:p>
    <w:p>
      <w:pPr>
        <w:tabs>
          <w:tab w:pos="9071" w:val="right" w:leader="dot"/>
        </w:tabs>
        <w:spacing w:after="80" w:line="300" w:lineRule="auto" w:before="120"/>
        <w:ind w:firstLine="0" w:left="0"/>
      </w:pPr>
      <w:r>
        <w:rPr>
          <w:rFonts w:ascii="Times New Roman" w:hAnsi="Times New Roman" w:eastAsia="黑体"/>
          <w:b/>
          <w:sz w:val="24"/>
        </w:rPr>
        <w:t>2 总体描述</w:t>
        <w:tab/>
        <w:t>4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2.1 产品目标</w:t>
        <w:tab/>
        <w:t>4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2.1.1 开发意图</w:t>
        <w:tab/>
        <w:t>4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2.1.2 应用目标与作用范围</w:t>
        <w:tab/>
        <w:t>4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2.1.3 产品前景</w:t>
        <w:tab/>
        <w:t>5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2.2 用户特征</w:t>
        <w:tab/>
        <w:t>5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2.3 用户场景与典型故事</w:t>
        <w:tab/>
        <w:t>6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2.3.1 场景一：新成员了解本地运行方式（SC-01）</w:t>
        <w:tab/>
        <w:t>6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2.3.2 场景二：开发成员了解历史设计决策（SC-02）</w:t>
        <w:tab/>
        <w:t>6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2.3.3 场景三：课程助教答复重复提问（SC-03）</w:t>
        <w:tab/>
        <w:t>7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2.3.4 场景四：管理员处理知识缺口（SC-04）</w:t>
        <w:tab/>
        <w:t>8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2.4 运行环境与约束</w:t>
        <w:tab/>
        <w:t>8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2.5 假设与依赖</w:t>
        <w:tab/>
        <w:t>9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2.6 非目标</w:t>
        <w:tab/>
        <w:t>9</w:t>
      </w:r>
    </w:p>
    <w:p>
      <w:pPr>
        <w:tabs>
          <w:tab w:pos="9071" w:val="right" w:leader="dot"/>
        </w:tabs>
        <w:spacing w:after="80" w:line="300" w:lineRule="auto" w:before="120"/>
        <w:ind w:firstLine="0" w:left="0"/>
      </w:pPr>
      <w:r>
        <w:rPr>
          <w:rFonts w:ascii="Times New Roman" w:hAnsi="Times New Roman" w:eastAsia="黑体"/>
          <w:b/>
          <w:sz w:val="24"/>
        </w:rPr>
        <w:t>3 具体要求</w:t>
        <w:tab/>
        <w:t>10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3.1 类图</w:t>
        <w:tab/>
        <w:t>10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3.2 数据需求</w:t>
        <w:tab/>
        <w:t>13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3.2.1 实体属性与约束</w:t>
        <w:tab/>
        <w:t>13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3.2.2 数据保留与清理</w:t>
        <w:tab/>
        <w:t>14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3.3 接口需求</w:t>
        <w:tab/>
        <w:t>15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3.3.1 用户界面</w:t>
        <w:tab/>
        <w:t>15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3.3.2 软件接口</w:t>
        <w:tab/>
        <w:t>15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3.3.3 通信接口</w:t>
        <w:tab/>
        <w:t>16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3.4 非功能需求</w:t>
        <w:tab/>
        <w:t>16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3.4.1 可用性</w:t>
        <w:tab/>
        <w:t>16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3.4.2 安全性</w:t>
        <w:tab/>
        <w:t>17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3.4.3 性能</w:t>
        <w:tab/>
        <w:t>17</w:t>
      </w:r>
    </w:p>
    <w:p>
      <w:pPr>
        <w:tabs>
          <w:tab w:pos="9071" w:val="right" w:leader="dot"/>
        </w:tabs>
        <w:spacing w:after="40" w:line="300" w:lineRule="auto"/>
        <w:ind w:firstLine="0" w:left="907"/>
      </w:pPr>
      <w:r>
        <w:rPr>
          <w:rFonts w:ascii="Times New Roman" w:hAnsi="Times New Roman" w:eastAsia="宋体"/>
          <w:b w:val="0"/>
          <w:sz w:val="24"/>
        </w:rPr>
        <w:t>3.4.4 可维护性与可移植性</w:t>
        <w:tab/>
        <w:t>18</w:t>
      </w:r>
    </w:p>
    <w:p>
      <w:pPr>
        <w:tabs>
          <w:tab w:pos="9071" w:val="right" w:leader="dot"/>
        </w:tabs>
        <w:spacing w:after="80" w:line="300" w:lineRule="auto" w:before="120"/>
        <w:ind w:firstLine="0" w:left="0"/>
      </w:pPr>
      <w:r>
        <w:rPr>
          <w:rFonts w:ascii="Times New Roman" w:hAnsi="Times New Roman" w:eastAsia="黑体"/>
          <w:b/>
          <w:sz w:val="24"/>
        </w:rPr>
        <w:t>4 界面原型</w:t>
        <w:tab/>
        <w:t>18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4.1 信息架构与导航</w:t>
        <w:tab/>
        <w:t>18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4.2 页面清单</w:t>
        <w:tab/>
        <w:t>19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4.3 关键交互流程</w:t>
        <w:tab/>
        <w:t>25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4.4 界面设计规范</w:t>
        <w:tab/>
        <w:t>28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4.5 状态设计</w:t>
        <w:tab/>
        <w:t>29</w:t>
      </w:r>
    </w:p>
    <w:p>
      <w:pPr>
        <w:tabs>
          <w:tab w:pos="9071" w:val="right" w:leader="dot"/>
        </w:tabs>
        <w:spacing w:after="80" w:line="300" w:lineRule="auto" w:before="120"/>
        <w:ind w:firstLine="0" w:left="0"/>
      </w:pPr>
      <w:r>
        <w:rPr>
          <w:rFonts w:ascii="Times New Roman" w:hAnsi="Times New Roman" w:eastAsia="黑体"/>
          <w:b/>
          <w:sz w:val="24"/>
        </w:rPr>
        <w:t>5 功能描述及验收验证标准</w:t>
        <w:tab/>
        <w:t>32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5.1 具体功能描述</w:t>
        <w:tab/>
        <w:t>32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5.2 输入输出格式</w:t>
        <w:tab/>
        <w:t>36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5.3 界面验收标准</w:t>
        <w:tab/>
        <w:t>36</w:t>
      </w:r>
    </w:p>
    <w:p>
      <w:pPr>
        <w:tabs>
          <w:tab w:pos="9071" w:val="right" w:leader="dot"/>
        </w:tabs>
        <w:spacing w:after="40" w:line="300" w:lineRule="auto"/>
        <w:ind w:firstLine="0" w:left="454"/>
      </w:pPr>
      <w:r>
        <w:rPr>
          <w:rFonts w:ascii="Times New Roman" w:hAnsi="Times New Roman" w:eastAsia="宋体"/>
          <w:b w:val="0"/>
          <w:sz w:val="24"/>
        </w:rPr>
        <w:t>5.4 功能验收标准</w:t>
        <w:tab/>
        <w:t>37</w:t>
      </w:r>
    </w:p>
    <w:p>
      <w:pPr>
        <w:tabs>
          <w:tab w:pos="9071" w:val="right" w:leader="dot"/>
        </w:tabs>
        <w:spacing w:after="80" w:line="300" w:lineRule="auto" w:before="120"/>
        <w:ind w:firstLine="0" w:left="0"/>
      </w:pPr>
      <w:r>
        <w:rPr>
          <w:rFonts w:ascii="Times New Roman" w:hAnsi="Times New Roman" w:eastAsia="黑体"/>
          <w:b/>
          <w:sz w:val="24"/>
        </w:rPr>
        <w:t>附录 A 需求追溯矩阵</w:t>
        <w:tab/>
        <w:t>39</w:t>
      </w:r>
    </w:p>
    <w:p>
      <w:pPr>
        <w:tabs>
          <w:tab w:pos="9071" w:val="right" w:leader="dot"/>
        </w:tabs>
        <w:spacing w:after="80" w:line="300" w:lineRule="auto" w:before="120"/>
        <w:ind w:firstLine="0" w:left="0"/>
      </w:pPr>
      <w:r>
        <w:rPr>
          <w:rFonts w:ascii="Times New Roman" w:hAnsi="Times New Roman" w:eastAsia="黑体"/>
          <w:b/>
          <w:sz w:val="24"/>
        </w:rPr>
        <w:t>附录 B 原型页面索引</w:t>
        <w:tab/>
        <w:t>39</w:t>
      </w:r>
    </w:p>
    <w:p>
      <w:pPr>
        <w:sectPr>
          <w:footerReference w:type="default" r:id="rId28"/>
          <w:headerReference w:type="default" r:id="rId29"/>
          <w:pgSz w:w="11906" w:h="16838"/>
          <w:pgMar w:top="1440" w:right="1417" w:bottom="1440" w:left="1417" w:header="850" w:footer="850" w:gutter="0"/>
          <w:pgNumType w:start="1" w:fmt="upperRoman"/>
          <w:cols w:space="720"/>
          <w:docGrid w:linePitch="360"/>
        </w:sectPr>
      </w:pP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1 引言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1.1 编写目的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本文档描述 DevPulse 智能问答助手 V1.0 的功能需求与非功能需求，作为后续概要设计、详细设计、编码实现、测试验收和项目评审的共同依据。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文档的预期读者包括四类：项目组成员在设计、开发与测试阶段对照本文档确认实现范围；课程教师与助教据此判断需求是否真实、完整、可验收；评审小组据此对需求分析质量给出评价；后续接手项目的人员据此理解系统要解决的问题与边界。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本文档只描述"系统应当做什么"以及"如何判断做到了"，不描述具体的代码结构、数据库表结构和部署脚本。上述内容属于设计文档的范围。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1.2 项目背景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在课程学习、社团工作和项目协作中，信息通常散落在聊天记录、在线文档、会议纪要、课程资料与网页之中。成员遇到问题时需要在多个平台反复搜索，或者直接询问已经处理过同类问题的人。这一过程带来三个后果：同一个问题被不同成员重复提问，定位成本随资料增加而上升；只给结论而不说明来源，使用者难以判断答案是否可信；问题解决后没有形成可复用的知识资产，人员变动时经验随之流失。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大语言模型可以生成流畅的回答，但如果只依赖模型自身的参数化知识，容易出现事实过期、来源不明与内容幻觉。检索增强生成先把与问题相关的文档检索出来，再让模型基于检索结果组织答案，可以缓解上述问题。DevPulse 的目标不是再做一个通用聊天机器人，而是围绕团队私有资料建立一条可信的问答链路，让答案有出处、可核对、能更新。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项目基本信息如下。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3 项目基本信息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7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529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37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软件名称</w:t>
            </w:r>
          </w:p>
        </w:tc>
        <w:tc>
          <w:tcPr>
            <w:tcW w:type="dxa" w:w="529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DevPulse 智能问答助手</w:t>
            </w:r>
          </w:p>
        </w:tc>
      </w:tr>
      <w:tr>
        <w:trPr>
          <w:cantSplit/>
        </w:trPr>
        <w:tc>
          <w:tcPr>
            <w:tcW w:type="dxa" w:w="37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项目任务提出者</w:t>
            </w:r>
          </w:p>
        </w:tc>
        <w:tc>
          <w:tcPr>
            <w:tcW w:type="dxa" w:w="529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福州大学 2601_FZU_SE《软件工程实践》课程组</w:t>
            </w:r>
          </w:p>
        </w:tc>
      </w:tr>
      <w:tr>
        <w:trPr>
          <w:cantSplit/>
        </w:trPr>
        <w:tc>
          <w:tcPr>
            <w:tcW w:type="dxa" w:w="37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项目开发者</w:t>
            </w:r>
          </w:p>
        </w:tc>
        <w:tc>
          <w:tcPr>
            <w:tcW w:type="dxa" w:w="529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DevPulse 团队，共 5 名成员</w:t>
            </w:r>
          </w:p>
        </w:tc>
      </w:tr>
      <w:tr>
        <w:trPr>
          <w:cantSplit/>
        </w:trPr>
        <w:tc>
          <w:tcPr>
            <w:tcW w:type="dxa" w:w="37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直接用户</w:t>
            </w:r>
          </w:p>
        </w:tc>
        <w:tc>
          <w:tcPr>
            <w:tcW w:type="dxa" w:w="529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课程班级、学生团队、社团、实验室小组、小型项目组</w:t>
            </w:r>
          </w:p>
        </w:tc>
      </w:tr>
      <w:tr>
        <w:trPr>
          <w:cantSplit/>
        </w:trPr>
        <w:tc>
          <w:tcPr>
            <w:tcW w:type="dxa" w:w="37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运行形态</w:t>
            </w:r>
          </w:p>
        </w:tc>
        <w:tc>
          <w:tcPr>
            <w:tcW w:type="dxa" w:w="529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浏览器访问的 Web 应用，前后端分离，服务端部署于云服务器</w:t>
            </w:r>
          </w:p>
        </w:tc>
      </w:tr>
      <w:tr>
        <w:trPr>
          <w:cantSplit/>
        </w:trPr>
        <w:tc>
          <w:tcPr>
            <w:tcW w:type="dxa" w:w="37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与外部系统的关系</w:t>
            </w:r>
          </w:p>
        </w:tc>
        <w:tc>
          <w:tcPr>
            <w:tcW w:type="dxa" w:w="529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调用大模型服务与向量检索服务；不替代现有在线文档平台，只在其之上提供问答入口</w:t>
            </w:r>
          </w:p>
        </w:tc>
      </w:tr>
    </w:tbl>
    <w:p>
      <w:pPr>
        <w:spacing w:after="40" w:line="240" w:lineRule="auto"/>
      </w:pP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1.3 术语、缩写与定义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本文档出现的缩写与专有术语在首次出现处给出中文解释，并统一列于下表，后续章节不再重复定义。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4 术语与缩写表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3024"/>
        <w:gridCol w:w="3024"/>
        <w:gridCol w:w="3024"/>
      </w:tblGrid>
      <w:tr>
        <w:trPr>
          <w:cantSplit/>
          <w:tblHeader w:val="true"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术语 / 缩写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英文全称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含义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SRS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Software Requirements Specification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软件需求规格说明书，即本文档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LLM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Large Language Model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大语言模型，具备自然语言理解与生成能力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RAG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Retrieval-Augmented Generation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检索增强生成，先检索资料再生成答案的技术路线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Knowledge Base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一组有序组织的文档与资料的集合，是检索的基本单位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文本片段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Chunk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文档切分后的最小检索单位，携带来源与页码信息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向量检索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Vector Retrieval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将文本与问题映射为向量后按语义相似度查找片段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关键词检索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Keyword Retrieval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基于词项匹配的检索方式，擅长专有名词与精确表达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混合检索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Hybrid Retrieval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同时使用向量检索与关键词检索并合并结果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重排序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Rerank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对初次召回的结果重新排序，把最相关的片段排在前面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引用溯源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Citation Tracing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从答案定位到原文片段与所在位置的能力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知识缺口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Knowledge Gap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用户提问在现有知识库中无法被回答的情况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检索命中率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Retrieval Hit Rate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前若干条检索结果中包含正确答案来源的比例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引用准确率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Citation Accuracy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引用片段确实支持对应结论的比例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Functional Requirement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功能需求，编号形如 FR-01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Non-Functional Requirement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非功能需求，编号形如 NFR-01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MVP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Minimum Viable Product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最小可用产品，指主链路可稳定演示的最小功能集合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OCR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Optical Character Recognition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光学字符识别，用于处理扫描版文档</w:t>
            </w:r>
          </w:p>
        </w:tc>
      </w:tr>
      <w:tr>
        <w:trPr>
          <w:cantSplit/>
        </w:trPr>
        <w:tc>
          <w:tcPr>
            <w:tcW w:type="dxa" w:w="21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UAT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User Acceptance Testing</w:t>
            </w:r>
          </w:p>
        </w:tc>
        <w:tc>
          <w:tcPr>
            <w:tcW w:type="dxa" w:w="346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用户验收测试</w:t>
            </w:r>
          </w:p>
        </w:tc>
      </w:tr>
    </w:tbl>
    <w:p>
      <w:pPr>
        <w:spacing w:after="40" w:line="240" w:lineRule="auto"/>
      </w:pP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1.4 参考资料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1. GB/T 9385-2008《计算机软件需求规格说明规范》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2. GB/T 8567-2006《计算机软件文档编制规范》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3. 邹欣.《构建之法》[M]. 北京：人民邮电出版社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4. Lewis P, Perez E, Piktus A, et al. Retrieval-Augmented Generation for Knowledge-Intensive NLP Tasks[C]. NeurIPS, 2020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5. LangChain 官方文档. https://python.langchain.com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6. Milvus 官方文档. https://milvus.io/docs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7. DevPulse 团队.《DevPulse 智能问答助手选题说明》. 2026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8. DevPulse 团队.《软件工程实践团队作业——种子队选拔、团队展示及选题》. 2026</w:t>
      </w: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2 总体描述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2.1 产品目标</w:t>
      </w: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2.1.1 开发意图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本项目希望解决团队协作中知识查找成本高、答案来源不可核对、经验难以沉淀的问题。具体做法是把团队已有的文档、课程资料和常见问答整理为可检索的知识库，用户用自然语言提问后，系统返回基于这些资料生成的答案，并展示答案所依据的原文片段。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从工程实践角度看，本项目还有第二层意图：让团队完整经历一次从需求分析、数据建模、接口设计、前后端实现到测试部署的软件开发过程，并在其中练习如何把模糊的想法转化为可验收的需求。</w:t>
      </w: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2.1.2 应用目标与作用范围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系统的应用目标是使用户获取团队内部知识的时间明显下降，并且每次获得的答案都能被独立核对。围绕这一目标，系统的作用范围包括六个方面。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1. </w:t>
      </w:r>
      <w:r>
        <w:rPr>
          <w:rFonts w:ascii="Times New Roman" w:hAnsi="Times New Roman" w:eastAsia="宋体"/>
          <w:b/>
          <w:sz w:val="24"/>
        </w:rPr>
        <w:t>知识入库。</w:t>
      </w:r>
      <w:r>
        <w:rPr>
          <w:rFonts w:ascii="Times New Roman" w:hAnsi="Times New Roman" w:eastAsia="宋体"/>
          <w:b w:val="0"/>
          <w:sz w:val="24"/>
        </w:rPr>
        <w:t xml:space="preserve"> 支持 Markdown、纯文本、PDF、Word 等常用格式的资料导入，完成解析、清洗、切分与向量化，并保留来源与版本信息。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2. </w:t>
      </w:r>
      <w:r>
        <w:rPr>
          <w:rFonts w:ascii="Times New Roman" w:hAnsi="Times New Roman" w:eastAsia="宋体"/>
          <w:b/>
          <w:sz w:val="24"/>
        </w:rPr>
        <w:t>检索与问答。</w:t>
      </w:r>
      <w:r>
        <w:rPr>
          <w:rFonts w:ascii="Times New Roman" w:hAnsi="Times New Roman" w:eastAsia="宋体"/>
          <w:b w:val="0"/>
          <w:sz w:val="24"/>
        </w:rPr>
        <w:t xml:space="preserve"> 支持自然语言提问，通过混合检索与重排序筛选相关片段，由大语言模型基于片段生成答案。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3. </w:t>
      </w:r>
      <w:r>
        <w:rPr>
          <w:rFonts w:ascii="Times New Roman" w:hAnsi="Times New Roman" w:eastAsia="宋体"/>
          <w:b/>
          <w:sz w:val="24"/>
        </w:rPr>
        <w:t>引用溯源。</w:t>
      </w:r>
      <w:r>
        <w:rPr>
          <w:rFonts w:ascii="Times New Roman" w:hAnsi="Times New Roman" w:eastAsia="宋体"/>
          <w:b w:val="0"/>
          <w:sz w:val="24"/>
        </w:rPr>
        <w:t xml:space="preserve"> 答案附带引用卡片，展示文档名称、页码、片段内容与相似度，用户可以据此回到原文核对。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4. </w:t>
      </w:r>
      <w:r>
        <w:rPr>
          <w:rFonts w:ascii="Times New Roman" w:hAnsi="Times New Roman" w:eastAsia="宋体"/>
          <w:b/>
          <w:sz w:val="24"/>
        </w:rPr>
        <w:t>多轮对话。</w:t>
      </w:r>
      <w:r>
        <w:rPr>
          <w:rFonts w:ascii="Times New Roman" w:hAnsi="Times New Roman" w:eastAsia="宋体"/>
          <w:b w:val="0"/>
          <w:sz w:val="24"/>
        </w:rPr>
        <w:t xml:space="preserve"> 在同一会话中保留上下文，支持"这个""上面提到的"等指代性追问。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5. </w:t>
      </w:r>
      <w:r>
        <w:rPr>
          <w:rFonts w:ascii="Times New Roman" w:hAnsi="Times New Roman" w:eastAsia="宋体"/>
          <w:b/>
          <w:sz w:val="24"/>
        </w:rPr>
        <w:t>反馈闭环。</w:t>
      </w:r>
      <w:r>
        <w:rPr>
          <w:rFonts w:ascii="Times New Roman" w:hAnsi="Times New Roman" w:eastAsia="宋体"/>
          <w:b w:val="0"/>
          <w:sz w:val="24"/>
        </w:rPr>
        <w:t xml:space="preserve"> 用户可以评价回答，系统记录低分回答与未命中问题，形成可被处理的知识缺口清单。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6. </w:t>
      </w:r>
      <w:r>
        <w:rPr>
          <w:rFonts w:ascii="Times New Roman" w:hAnsi="Times New Roman" w:eastAsia="宋体"/>
          <w:b/>
          <w:sz w:val="24"/>
        </w:rPr>
        <w:t>权限与治理。</w:t>
      </w:r>
      <w:r>
        <w:rPr>
          <w:rFonts w:ascii="Times New Roman" w:hAnsi="Times New Roman" w:eastAsia="宋体"/>
          <w:b w:val="0"/>
          <w:sz w:val="24"/>
        </w:rPr>
        <w:t xml:space="preserve"> 区分管理员、普通成员与访客，控制知识库的可访问范围，并保留关键操作的审计记录。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系统不处理的领域在第 2.6 节说明。</w:t>
      </w: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2.1.3 产品前景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首版面向课程班级与小型团队，功能范围有意保持收窄，以保证主链路稳定可用。由于系统与具体知识内容解耦，只要能提供文档资料，就可以替换知识库内容服务新的场景，例如实验室的入门资料问答、社团的规章制度问答、课程助教的高频问题问答。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后续版本的扩展方向包括文档版本管理、知识库之间的引用、回答质量自动评估与更细粒度的权限模型。项目采用的模型接口与向量库均通过配置替换，不绑定单一厂商，这为长期维护保留了空间。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2.2 用户特征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系统的使用者可归纳为四类角色，其技术背景与使用诉求差异明显，界面与权限设计需要据此区分。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5 用户角色与特征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rPr>
          <w:cantSplit/>
          <w:tblHeader w:val="true"/>
        </w:trPr>
        <w:tc>
          <w:tcPr>
            <w:tcW w:type="dxa" w:w="15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角色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典型人员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技术水平</w:t>
            </w:r>
          </w:p>
        </w:tc>
        <w:tc>
          <w:tcPr>
            <w:tcW w:type="dxa" w:w="15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使用频率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主要诉求</w:t>
            </w:r>
          </w:p>
        </w:tc>
      </w:tr>
      <w:tr>
        <w:trPr>
          <w:cantSplit/>
        </w:trPr>
        <w:tc>
          <w:tcPr>
            <w:tcW w:type="dxa" w:w="15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普通成员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项目组员、社团成员、学生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会使用浏览器与在线文档，不了解检索原理</w:t>
            </w:r>
          </w:p>
        </w:tc>
        <w:tc>
          <w:tcPr>
            <w:tcW w:type="dxa" w:w="15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每周数次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快速得到有出处的答案，不想学习复杂的检索语法</w:t>
            </w:r>
          </w:p>
        </w:tc>
      </w:tr>
      <w:tr>
        <w:trPr>
          <w:cantSplit/>
        </w:trPr>
        <w:tc>
          <w:tcPr>
            <w:tcW w:type="dxa" w:w="15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知识库管理员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项目负责人、社团干部、课程助教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熟悉常见办公软件，能判断文档是否准确</w:t>
            </w:r>
          </w:p>
        </w:tc>
        <w:tc>
          <w:tcPr>
            <w:tcW w:type="dxa" w:w="15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每周一至两次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维护文档、处理反馈、发现知识缺口</w:t>
            </w:r>
          </w:p>
        </w:tc>
      </w:tr>
      <w:tr>
        <w:trPr>
          <w:cantSplit/>
        </w:trPr>
        <w:tc>
          <w:tcPr>
            <w:tcW w:type="dxa" w:w="15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系统管理员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团队技术人员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具备基本的部署与运维能力</w:t>
            </w:r>
          </w:p>
        </w:tc>
        <w:tc>
          <w:tcPr>
            <w:tcW w:type="dxa" w:w="15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每月一至两次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管理账号与权限、更换模型配置、查看审计日志</w:t>
            </w:r>
          </w:p>
        </w:tc>
      </w:tr>
      <w:tr>
        <w:trPr>
          <w:cantSplit/>
        </w:trPr>
        <w:tc>
          <w:tcPr>
            <w:tcW w:type="dxa" w:w="15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访客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被临时授权的同学或外部评审人员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只会浏览</w:t>
            </w:r>
          </w:p>
        </w:tc>
        <w:tc>
          <w:tcPr>
            <w:tcW w:type="dxa" w:w="15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偶尔</w:t>
            </w:r>
          </w:p>
        </w:tc>
        <w:tc>
          <w:tcPr>
            <w:tcW w:type="dxa" w:w="20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在不接触敏感资料的前提下查看公开内容</w:t>
            </w:r>
          </w:p>
        </w:tc>
      </w:tr>
    </w:tbl>
    <w:p>
      <w:pPr>
        <w:spacing w:after="40" w:line="240" w:lineRule="auto"/>
      </w:pP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用户群体的共同特点是了解自己负责的业务，但不熟悉检索与提示词调优，因此系统不能把检索参数暴露给普通成员，默认值必须开箱可用。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2.3 用户场景与典型故事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本节场景来自对 5 位同学与 1 位课程助教的小范围访谈。访谈采用开放式提问，询问受访者最近一次"找不到项目资料"的经历，场景描述保留了受访者的原话表述。</w:t>
      </w: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2.3.1 场景一：新成员了解本地运行方式（SC-01）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学号靠后加入团队的组员第一次拿到仓库地址，需要在本机把项目跑起来。部署说明分散在群聊记录、一份在线文档和仓库的 README 中，三处内容版本不一致，其中群聊里提到的一条命令已经过时。该成员在群里提问，等待了四十分钟才得到答复。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6 用例 UC-01 查询项目部署方式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用例编号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UC-01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用例名称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查询项目部署方式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参与者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普通成员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对应场景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SC-01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前置条件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用户已登录，且对项目知识库具有查看权限；知识库中已收录最新的部署文档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主流程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1. 用户在会话中输入"这个项目怎么在本地跑起来"；2. 系统检索部署文档并重排序；3. 系统基于命中的片段生成步骤化答案；4. 答案下方展示引用卡片；5. 用户点击引用卡片，查看原文中的完整命令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异常流程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若知识库中只有过时文档，系统仍返回基于该文档的答案，并在引用卡片中标注文档的更新日期，便于用户判断时效性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后置条件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会话记录被保存，用户可继续追问</w:t>
            </w:r>
          </w:p>
        </w:tc>
      </w:tr>
    </w:tbl>
    <w:p>
      <w:pPr>
        <w:spacing w:after="40" w:line="240" w:lineRule="auto"/>
      </w:pP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2.3.2 场景二：开发成员了解历史设计决策（SC-02）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一名成员在修改接口时发现参数命名不符合直觉，想知道当初这样设计的原因。相关讨论只存在于两个月前的会议记录中，参与讨论的成员已经记不清细节。该成员需要确认现状是否有意为之，而不是一次疏忽。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7 用例 UC-02 查询历史设计决策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用例编号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UC-02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用例名称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查询历史设计决策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参与者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普通成员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对应场景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SC-02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前置条件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会议纪要与设计决策记录已录入知识库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主流程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1. 用户输入"某个接口为什么这样设计"；2. 系统识别问题中的接口名称并执行混合检索；3. 系统返回包含决策背景、可选方案与最终选择的答案；4. 引用卡片指向会议纪要的对应段落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异常流程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若检索结果不足，系统明确提示"知识库中没有找到相关记录"，并建议补充会议纪要，同时将该问题记入知识缺口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后置条件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未命中问题进入管理员的知识缺口清单</w:t>
            </w:r>
          </w:p>
        </w:tc>
      </w:tr>
    </w:tbl>
    <w:p>
      <w:pPr>
        <w:spacing w:after="40" w:line="240" w:lineRule="auto"/>
      </w:pP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2.3.3 场景三：课程助教答复重复提问（SC-03）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课程助教每周都会收到若干名学生询问作业提交格式的问题。答复内容固定，但每次都需要在一份长文档中找到对应段落并复制，重复劳动较多。助教希望直接得到一段可以转发的答复，并确认这段话确实来自作业要求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8 用例 UC-03 生成可转发的规范答复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用例编号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UC-03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用例名称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生成可转发的规范答复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参与者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普通成员（助教角色）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对应场景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SC-03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前置条件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作业要求文档已录入知识库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主流程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1. 助教输入"作业提交格式是什么"；2. 系统检索到作业要求文档中的对应段落；3. 系统生成包含截止时间、提交方式与命名规则的答复；4. 引用卡片展示原文段落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异常流程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若知识库中的作业要求存在多个版本，系统优先引用更新时间最新的文档，并在答案中提示存在多个版本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后置条件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答案可被复制转发，引用来源可随时复核</w:t>
            </w:r>
          </w:p>
        </w:tc>
      </w:tr>
    </w:tbl>
    <w:p>
      <w:pPr>
        <w:spacing w:after="40" w:line="240" w:lineRule="auto"/>
      </w:pP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2.3.4 场景四：管理员处理知识缺口（SC-04）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管理员发现某一类问题连续一周被反复提问，说明知识库在这部分存在缺失。在缺少汇总机制的情况下，管理员只能凭印象判断要补什么资料。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9 用例 UC-04 查看与处理知识缺口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用例编号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UC-04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用例名称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查看与处理知识缺口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参与者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知识库管理员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对应场景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SC-04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前置条件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系统中已积累了一定数量的未命中问题与低分回答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主流程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1. 管理员进入知识缺口分析页；2. 系统按问题出现次数降序展示未命中问题清单；3. 管理员选取其中一个问题，查看相似提问的原始记录；4. 管理员补充或修订对应文档；5. 系统重新解析并更新向量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异常流程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若缺口原因是文档表述不清而非文档缺失，系统支持管理员仅修订原文后重新索引，无需新增文档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后置条件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知识缺口清单中该条目被标记为已处理</w:t>
            </w:r>
          </w:p>
        </w:tc>
      </w:tr>
    </w:tbl>
    <w:p>
      <w:pPr>
        <w:spacing w:after="40" w:line="240" w:lineRule="auto"/>
      </w:pP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2.4 运行环境与约束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10 运行环境与约束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要求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服务端运行环境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Linux 服务器，Docker 与 Docker Compose 可用，可访问外部大模型服务接口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客户端运行环境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Windows、macOS 或 Linux 桌面操作系统，具备现代浏览器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浏览器支持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Chrome 100 及以上、Edge 100 及以上、Firefox 100 及以上；不支持 Internet Explorer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网络要求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客户端与服务端之间通过 HTTPS 通信；服务端需要能访问所配置的大模型接口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终端适配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以桌面端为主要使用场景，窗口宽度不小于 1280 像素；窄屏设备仅保证可浏览，不保证完整交互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语言与编码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界面与文档以简体中文为主，文本统一采用 UTF-8 编码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课程约束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项目须在课程周期内完成，部署成本与模型调用成本需控制在课程可接受范围内</w:t>
            </w:r>
          </w:p>
        </w:tc>
      </w:tr>
    </w:tbl>
    <w:p>
      <w:pPr>
        <w:spacing w:after="40" w:line="240" w:lineRule="auto"/>
      </w:pP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2.5 假设与依赖</w:t>
      </w:r>
    </w:p>
    <w:p>
      <w:pPr>
        <w:ind w:firstLine="480"/>
      </w:pPr>
      <w:r>
        <w:rPr>
          <w:rFonts w:ascii="Times New Roman" w:hAnsi="Times New Roman" w:eastAsia="宋体"/>
          <w:b/>
          <w:sz w:val="24"/>
        </w:rPr>
        <w:t>假设。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1. 用户具备基本的中文输入能力，能够用自然语言表达问题，不需要了解检索语法。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2. 知识库中的文档以中文为主，且多数文档含有可提取的文本层。扫描版文档属于少数情况，可通过 OCR 单独处理。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3. 团队能够获得课程资料、项目文档与常见问答作为初始知识库内容，不需要额外购买数据。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4. 使用者愿意在答案存疑时点击引用核对原文，而不是直接采信模型输出。</w:t>
      </w:r>
    </w:p>
    <w:p>
      <w:pPr>
        <w:ind w:firstLine="480"/>
      </w:pPr>
      <w:r>
        <w:rPr>
          <w:rFonts w:ascii="Times New Roman" w:hAnsi="Times New Roman" w:eastAsia="宋体"/>
          <w:b/>
          <w:sz w:val="24"/>
        </w:rPr>
        <w:t>依赖。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1. 依赖外部大模型服务提供文本生成能力。若接口不可用，系统需要降级提示而不是返回空白页面。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2. 依赖向量检索组件保存与查询文本片段向量。首版采用可本地运行的轻量方案，后续可替换为服务化方案。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3. 依赖课程提供的服务器或团队自备的云服务器完成部署。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4. 依赖团队成员在课程周期内持续投入，具体分工与进度见项目博客。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2.6 非目标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明确列出不做的事情，可以避免需求在实现阶段不断膨胀。本版本不包含以下内容。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11 本版本的非目标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非目标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通用闲聊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系统只回答与知识库内容相关的问题，不承担闲聊、创作等通用对话职能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替代人的判断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系统提供的是带出处的参考信息，高风险结论仍需使用者自行核对原文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全格式文档解析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首版优先支持 Markdown、纯文本、PDF 与 Word，表格、公式与扫描件的支持程度有限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大规模高并发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首版面向课程班级与小型团队，不做高并发与横向扩展设计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互联网全文检索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系统只检索团队自行导入的资料，不主动抓取互联网内容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多租户计费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首版不区分租户，不包含计费、套餐与配额管理</w:t>
            </w:r>
          </w:p>
        </w:tc>
      </w:tr>
      <w:tr>
        <w:trPr>
          <w:cantSplit/>
        </w:trPr>
        <w:tc>
          <w:tcPr>
            <w:tcW w:type="dxa" w:w="35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移动端原生应用</w:t>
            </w:r>
          </w:p>
        </w:tc>
        <w:tc>
          <w:tcPr>
            <w:tcW w:type="dxa" w:w="549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不开发 iOS 与 Android 客户端，移动端仅保证页面可浏览</w:t>
            </w:r>
          </w:p>
        </w:tc>
      </w:tr>
    </w:tbl>
    <w:p>
      <w:pPr>
        <w:spacing w:after="40" w:line="240" w:lineRule="auto"/>
      </w:pP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3 具体要求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3.1 类图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类图描述系统的业务实体及其静态关系。图 1 中只包含业务对象，缓存、消息队列、向量库等技术组件不出现在类图中，它们属于接口需求与设计文档的讨论范围。</w:t>
      </w:r>
    </w:p>
    <w:p>
      <w:pPr>
        <w:sectPr>
          <w:footerReference w:type="default" r:id="rId30"/>
          <w:headerReference w:type="default" r:id="rId31"/>
          <w:pgSz w:w="11906" w:h="16838"/>
          <w:pgMar w:top="1440" w:right="1417" w:bottom="1440" w:left="1417" w:header="850" w:footer="850" w:gutter="0"/>
          <w:pgNumType w:start="1" w:fmt="decimal"/>
          <w:cols w:space="720"/>
          <w:docGrid w:linePitch="360"/>
        </w:sectPr>
      </w:pP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9000000" cy="47050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类图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00000" cy="47050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1 DevPulse 智能问答助手类图</w:t>
      </w:r>
    </w:p>
    <w:p>
      <w:pPr>
        <w:sectPr>
          <w:footerReference w:type="default" r:id="rId32"/>
          <w:headerReference w:type="default" r:id="rId33"/>
          <w:pgSz w:w="16838" w:h="11906" w:orient="landscape"/>
          <w:pgMar w:top="1134" w:right="1134" w:bottom="1134" w:left="1134" w:header="850" w:footer="850" w:gutter="0"/>
          <w:cols w:space="720"/>
          <w:docGrid w:linePitch="360"/>
        </w:sectPr>
      </w:pP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各类的职责与关键属性说明如下。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12 类的职责与关键属性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3024"/>
        <w:gridCol w:w="3024"/>
        <w:gridCol w:w="3024"/>
      </w:tblGrid>
      <w:tr>
        <w:trPr>
          <w:cantSplit/>
          <w:tblHeader w:val="true"/>
        </w:trPr>
        <w:tc>
          <w:tcPr>
            <w:tcW w:type="dxa" w:w="292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类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职责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关键属性</w:t>
            </w:r>
          </w:p>
        </w:tc>
      </w:tr>
      <w:tr>
        <w:trPr>
          <w:cantSplit/>
        </w:trPr>
        <w:tc>
          <w:tcPr>
            <w:tcW w:type="dxa" w:w="292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 User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标识系统中的操作主体，承载身份与角色信息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 ID、账号、密码哈希、角色、状态</w:t>
            </w:r>
          </w:p>
        </w:tc>
      </w:tr>
      <w:tr>
        <w:trPr>
          <w:cantSplit/>
        </w:trPr>
        <w:tc>
          <w:tcPr>
            <w:tcW w:type="dxa" w:w="292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 KnowledgeBase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组织文档的顶层容器，决定检索范围与可见范围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 ID、名称、描述、可见范围、创建人 ID</w:t>
            </w:r>
          </w:p>
        </w:tc>
      </w:tr>
      <w:tr>
        <w:trPr>
          <w:cantSplit/>
        </w:trPr>
        <w:tc>
          <w:tcPr>
            <w:tcW w:type="dxa" w:w="292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知识库成员 KbMember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记录用户与知识库之间的授权关系与权限级别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 ID、用户 ID、权限级别</w:t>
            </w:r>
          </w:p>
        </w:tc>
      </w:tr>
      <w:tr>
        <w:trPr>
          <w:cantSplit/>
        </w:trPr>
        <w:tc>
          <w:tcPr>
            <w:tcW w:type="dxa" w:w="292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 Document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表示一份被导入的资料，记录来源与解析状态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 ID、文件名、文件类型、文件大小、文件哈希、解析状态、上传人 ID、上传时间</w:t>
            </w:r>
          </w:p>
        </w:tc>
      </w:tr>
      <w:tr>
        <w:trPr>
          <w:cantSplit/>
        </w:trPr>
        <w:tc>
          <w:tcPr>
            <w:tcW w:type="dxa" w:w="292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文档版本 DocumentVersion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记录文档的更新历史，避免继续使用过期内容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版本 ID、版本号、更新时间、变更说明</w:t>
            </w:r>
          </w:p>
        </w:tc>
      </w:tr>
      <w:tr>
        <w:trPr>
          <w:cantSplit/>
        </w:trPr>
        <w:tc>
          <w:tcPr>
            <w:tcW w:type="dxa" w:w="292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文本片段 Chunk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检索的最小单位，承载来源定位信息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片段 ID、序号、文本内容、页码、词元数、向量标识</w:t>
            </w:r>
          </w:p>
        </w:tc>
      </w:tr>
      <w:tr>
        <w:trPr>
          <w:cantSplit/>
        </w:trPr>
        <w:tc>
          <w:tcPr>
            <w:tcW w:type="dxa" w:w="292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会话 Conversation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组织一个主题下的连续问答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会话 ID、标题、创建时间</w:t>
            </w:r>
          </w:p>
        </w:tc>
      </w:tr>
      <w:tr>
        <w:trPr>
          <w:cantSplit/>
        </w:trPr>
        <w:tc>
          <w:tcPr>
            <w:tcW w:type="dxa" w:w="292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消息 Message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记录一问一答的原始内容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消息 ID、角色、内容、创建时间</w:t>
            </w:r>
          </w:p>
        </w:tc>
      </w:tr>
      <w:tr>
        <w:trPr>
          <w:cantSplit/>
        </w:trPr>
        <w:tc>
          <w:tcPr>
            <w:tcW w:type="dxa" w:w="292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 Citation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关联答案与支撑答案的片段，支持溯源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 ID、相似度、排序号</w:t>
            </w:r>
          </w:p>
        </w:tc>
      </w:tr>
      <w:tr>
        <w:trPr>
          <w:cantSplit/>
        </w:trPr>
        <w:tc>
          <w:tcPr>
            <w:tcW w:type="dxa" w:w="292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反馈 Feedback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记录用户对回答的评价，支撑知识缺口分析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反馈 ID、类型、原因、创建时间</w:t>
            </w:r>
          </w:p>
        </w:tc>
      </w:tr>
      <w:tr>
        <w:trPr>
          <w:cantSplit/>
        </w:trPr>
        <w:tc>
          <w:tcPr>
            <w:tcW w:type="dxa" w:w="292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模型配置 ModelConfig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保存模型调用参数，支持更换模型供应商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配置 ID、模型名称、参数、超时秒数、是否启用</w:t>
            </w:r>
          </w:p>
        </w:tc>
      </w:tr>
      <w:tr>
        <w:trPr>
          <w:cantSplit/>
        </w:trPr>
        <w:tc>
          <w:tcPr>
            <w:tcW w:type="dxa" w:w="292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审计日志 AuditLog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记录关键操作，便于追责与问题排查</w:t>
            </w:r>
          </w:p>
        </w:tc>
        <w:tc>
          <w:tcPr>
            <w:tcW w:type="dxa" w:w="307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日志 ID、操作类型、操作对象、操作时间</w:t>
            </w:r>
          </w:p>
        </w:tc>
      </w:tr>
    </w:tbl>
    <w:p>
      <w:pPr>
        <w:spacing w:after="40" w:line="240" w:lineRule="auto"/>
      </w:pP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类之间的关系说明如下。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1. </w:t>
      </w:r>
      <w:r>
        <w:rPr>
          <w:rFonts w:ascii="Times New Roman" w:hAnsi="Times New Roman" w:eastAsia="宋体"/>
          <w:b/>
          <w:sz w:val="24"/>
        </w:rPr>
        <w:t>用户与知识库（1 对多）。</w:t>
      </w:r>
      <w:r>
        <w:rPr>
          <w:rFonts w:ascii="Times New Roman" w:hAnsi="Times New Roman" w:eastAsia="宋体"/>
          <w:b w:val="0"/>
          <w:sz w:val="24"/>
        </w:rPr>
        <w:t xml:space="preserve"> 一个用户可以创建多个知识库，一个知识库只有一个创建人。创建人对该知识库拥有管理员权限。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2. </w:t>
      </w:r>
      <w:r>
        <w:rPr>
          <w:rFonts w:ascii="Times New Roman" w:hAnsi="Times New Roman" w:eastAsia="宋体"/>
          <w:b/>
          <w:sz w:val="24"/>
        </w:rPr>
        <w:t>用户与知识库（多对多，通过知识库成员）。</w:t>
      </w:r>
      <w:r>
        <w:rPr>
          <w:rFonts w:ascii="Times New Roman" w:hAnsi="Times New Roman" w:eastAsia="宋体"/>
          <w:b w:val="0"/>
          <w:sz w:val="24"/>
        </w:rPr>
        <w:t xml:space="preserve"> 用户通过授权获得对其他知识库的访问权。引入知识库成员这一关联实体，既表达多对多关系，也承载权限级别属性。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3. </w:t>
      </w:r>
      <w:r>
        <w:rPr>
          <w:rFonts w:ascii="Times New Roman" w:hAnsi="Times New Roman" w:eastAsia="宋体"/>
          <w:b/>
          <w:sz w:val="24"/>
        </w:rPr>
        <w:t>知识库与知识库成员（1 对多，组合）。</w:t>
      </w:r>
      <w:r>
        <w:rPr>
          <w:rFonts w:ascii="Times New Roman" w:hAnsi="Times New Roman" w:eastAsia="宋体"/>
          <w:b w:val="0"/>
          <w:sz w:val="24"/>
        </w:rPr>
        <w:t xml:space="preserve"> 知识库被删除时，其成员授权记录随之失效。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4. </w:t>
      </w:r>
      <w:r>
        <w:rPr>
          <w:rFonts w:ascii="Times New Roman" w:hAnsi="Times New Roman" w:eastAsia="宋体"/>
          <w:b/>
          <w:sz w:val="24"/>
        </w:rPr>
        <w:t>知识库与文档（1 对多，组合）。</w:t>
      </w:r>
      <w:r>
        <w:rPr>
          <w:rFonts w:ascii="Times New Roman" w:hAnsi="Times New Roman" w:eastAsia="宋体"/>
          <w:b w:val="0"/>
          <w:sz w:val="24"/>
        </w:rPr>
        <w:t xml:space="preserve"> 文档必须归属于一个知识库，知识库被删除时其文档一并删除。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5. </w:t>
      </w:r>
      <w:r>
        <w:rPr>
          <w:rFonts w:ascii="Times New Roman" w:hAnsi="Times New Roman" w:eastAsia="宋体"/>
          <w:b/>
          <w:sz w:val="24"/>
        </w:rPr>
        <w:t>文档与文档版本（1 对多，组合）。</w:t>
      </w:r>
      <w:r>
        <w:rPr>
          <w:rFonts w:ascii="Times New Roman" w:hAnsi="Times New Roman" w:eastAsia="宋体"/>
          <w:b w:val="0"/>
          <w:sz w:val="24"/>
        </w:rPr>
        <w:t xml:space="preserve"> 一份文档可以有多个版本，版本记录用于追溯文档的更新过程。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6. </w:t>
      </w:r>
      <w:r>
        <w:rPr>
          <w:rFonts w:ascii="Times New Roman" w:hAnsi="Times New Roman" w:eastAsia="宋体"/>
          <w:b/>
          <w:sz w:val="24"/>
        </w:rPr>
        <w:t>文档与文本片段（1 对多，组合）。</w:t>
      </w:r>
      <w:r>
        <w:rPr>
          <w:rFonts w:ascii="Times New Roman" w:hAnsi="Times New Roman" w:eastAsia="宋体"/>
          <w:b w:val="0"/>
          <w:sz w:val="24"/>
        </w:rPr>
        <w:t xml:space="preserve"> 一份文档按语义边界切分为多个片段，片段是向量检索的基本单位。片段被删除时，其对应的向量一并作废。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7. </w:t>
      </w:r>
      <w:r>
        <w:rPr>
          <w:rFonts w:ascii="Times New Roman" w:hAnsi="Times New Roman" w:eastAsia="宋体"/>
          <w:b/>
          <w:sz w:val="24"/>
        </w:rPr>
        <w:t>知识库与会话（1 对多）。</w:t>
      </w:r>
      <w:r>
        <w:rPr>
          <w:rFonts w:ascii="Times New Roman" w:hAnsi="Times New Roman" w:eastAsia="宋体"/>
          <w:b w:val="0"/>
          <w:sz w:val="24"/>
        </w:rPr>
        <w:t xml:space="preserve"> 会话在某个知识库范围内进行，检索范围由会话所属知识库决定。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8. </w:t>
      </w:r>
      <w:r>
        <w:rPr>
          <w:rFonts w:ascii="Times New Roman" w:hAnsi="Times New Roman" w:eastAsia="宋体"/>
          <w:b/>
          <w:sz w:val="24"/>
        </w:rPr>
        <w:t>用户与会话（1 对多）。</w:t>
      </w:r>
      <w:r>
        <w:rPr>
          <w:rFonts w:ascii="Times New Roman" w:hAnsi="Times New Roman" w:eastAsia="宋体"/>
          <w:b w:val="0"/>
          <w:sz w:val="24"/>
        </w:rPr>
        <w:t xml:space="preserve"> 一个用户可以发起多个会话，会话归属发起人，其他成员不可见。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9. </w:t>
      </w:r>
      <w:r>
        <w:rPr>
          <w:rFonts w:ascii="Times New Roman" w:hAnsi="Times New Roman" w:eastAsia="宋体"/>
          <w:b/>
          <w:sz w:val="24"/>
        </w:rPr>
        <w:t>会话与消息（1 对多，组合）。</w:t>
      </w:r>
      <w:r>
        <w:rPr>
          <w:rFonts w:ascii="Times New Roman" w:hAnsi="Times New Roman" w:eastAsia="宋体"/>
          <w:b w:val="0"/>
          <w:sz w:val="24"/>
        </w:rPr>
        <w:t xml:space="preserve"> 会话由多条消息组成，消息按时间顺序排列。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10. </w:t>
      </w:r>
      <w:r>
        <w:rPr>
          <w:rFonts w:ascii="Times New Roman" w:hAnsi="Times New Roman" w:eastAsia="宋体"/>
          <w:b/>
          <w:sz w:val="24"/>
        </w:rPr>
        <w:t>消息与引用（1 对多）。</w:t>
      </w:r>
      <w:r>
        <w:rPr>
          <w:rFonts w:ascii="Times New Roman" w:hAnsi="Times New Roman" w:eastAsia="宋体"/>
          <w:b w:val="0"/>
          <w:sz w:val="24"/>
        </w:rPr>
        <w:t xml:space="preserve"> 一条助手消息可以引用多个片段，用于支撑答案的不同部分。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11. </w:t>
      </w:r>
      <w:r>
        <w:rPr>
          <w:rFonts w:ascii="Times New Roman" w:hAnsi="Times New Roman" w:eastAsia="宋体"/>
          <w:b/>
          <w:sz w:val="24"/>
        </w:rPr>
        <w:t>片段与引用（1 对多）。</w:t>
      </w:r>
      <w:r>
        <w:rPr>
          <w:rFonts w:ascii="Times New Roman" w:hAnsi="Times New Roman" w:eastAsia="宋体"/>
          <w:b w:val="0"/>
          <w:sz w:val="24"/>
        </w:rPr>
        <w:t xml:space="preserve"> 一个片段可能被多条回答反复引用。消息与片段之间因此通过引用实体构成多对多关系，引用实体上的相似度与排序号用于前端按相关度展示。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12. </w:t>
      </w:r>
      <w:r>
        <w:rPr>
          <w:rFonts w:ascii="Times New Roman" w:hAnsi="Times New Roman" w:eastAsia="宋体"/>
          <w:b/>
          <w:sz w:val="24"/>
        </w:rPr>
        <w:t>消息与反馈（1 对多）。</w:t>
      </w:r>
      <w:r>
        <w:rPr>
          <w:rFonts w:ascii="Times New Roman" w:hAnsi="Times New Roman" w:eastAsia="宋体"/>
          <w:b w:val="0"/>
          <w:sz w:val="24"/>
        </w:rPr>
        <w:t xml:space="preserve"> 一条助手消息可以获得多次反馈，但同一用户对同一条消息只保留最新一次评价。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13. </w:t>
      </w:r>
      <w:r>
        <w:rPr>
          <w:rFonts w:ascii="Times New Roman" w:hAnsi="Times New Roman" w:eastAsia="宋体"/>
          <w:b/>
          <w:sz w:val="24"/>
        </w:rPr>
        <w:t>用户与反馈（1 对多）。</w:t>
      </w:r>
      <w:r>
        <w:rPr>
          <w:rFonts w:ascii="Times New Roman" w:hAnsi="Times New Roman" w:eastAsia="宋体"/>
          <w:b w:val="0"/>
          <w:sz w:val="24"/>
        </w:rPr>
        <w:t xml:space="preserve"> 反馈归属于提交它的用户，用于区分不同角色的意见权重。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 xml:space="preserve">14. </w:t>
      </w:r>
      <w:r>
        <w:rPr>
          <w:rFonts w:ascii="Times New Roman" w:hAnsi="Times New Roman" w:eastAsia="宋体"/>
          <w:b/>
          <w:sz w:val="24"/>
        </w:rPr>
        <w:t>用户与审计日志（1 对多）。</w:t>
      </w:r>
      <w:r>
        <w:rPr>
          <w:rFonts w:ascii="Times New Roman" w:hAnsi="Times New Roman" w:eastAsia="宋体"/>
          <w:b w:val="0"/>
          <w:sz w:val="24"/>
        </w:rPr>
        <w:t xml:space="preserve"> 关键操作都会产生审计记录，记录操作主体与操作对象。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3.2 数据需求</w:t>
      </w: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3.2.1 实体属性与约束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13 主要实体的属性约束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3024"/>
        <w:gridCol w:w="3024"/>
        <w:gridCol w:w="3024"/>
      </w:tblGrid>
      <w:tr>
        <w:trPr>
          <w:cantSplit/>
          <w:tblHeader w:val="true"/>
        </w:trPr>
        <w:tc>
          <w:tcPr>
            <w:tcW w:type="dxa" w:w="20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实体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关键属性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主要约束</w:t>
            </w:r>
          </w:p>
        </w:tc>
      </w:tr>
      <w:tr>
        <w:trPr>
          <w:cantSplit/>
        </w:trPr>
        <w:tc>
          <w:tcPr>
            <w:tcW w:type="dxa" w:w="20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 ID、账号、密码哈希、角色、状态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账号在系统内唯一；密码以加盐哈希方式保存，不存明文；角色取值限于管理员、普通成员、访客</w:t>
            </w:r>
          </w:p>
        </w:tc>
      </w:tr>
      <w:tr>
        <w:trPr>
          <w:cantSplit/>
        </w:trPr>
        <w:tc>
          <w:tcPr>
            <w:tcW w:type="dxa" w:w="20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 ID、名称、描述、可见范围、创建人 ID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名称在同一创建人名下唯一；可见范围取值为公开或指定成员</w:t>
            </w:r>
          </w:p>
        </w:tc>
      </w:tr>
      <w:tr>
        <w:trPr>
          <w:cantSplit/>
        </w:trPr>
        <w:tc>
          <w:tcPr>
            <w:tcW w:type="dxa" w:w="20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知识库成员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 ID、用户 ID、权限级别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 ID 与用户 ID 的组合唯一；权限级别取值为管理、编辑、只读</w:t>
            </w:r>
          </w:p>
        </w:tc>
      </w:tr>
      <w:tr>
        <w:trPr>
          <w:cantSplit/>
        </w:trPr>
        <w:tc>
          <w:tcPr>
            <w:tcW w:type="dxa" w:w="20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 ID、文件名、文件类型、文件大小、文件哈希、解析状态、上传人 ID、上传时间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文件哈希在同一知识库内唯一，用于识别重复上传；解析状态取值为待解析、解析中、已入库、解析失败</w:t>
            </w:r>
          </w:p>
        </w:tc>
      </w:tr>
      <w:tr>
        <w:trPr>
          <w:cantSplit/>
        </w:trPr>
        <w:tc>
          <w:tcPr>
            <w:tcW w:type="dxa" w:w="20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文档版本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版本 ID、文档 ID、版本号、更新时间、变更说明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同一文档的版本号递增且唯一</w:t>
            </w:r>
          </w:p>
        </w:tc>
      </w:tr>
      <w:tr>
        <w:trPr>
          <w:cantSplit/>
        </w:trPr>
        <w:tc>
          <w:tcPr>
            <w:tcW w:type="dxa" w:w="20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文本片段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片段 ID、文档 ID、序号、文本内容、页码、词元数、向量标识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同一文档内序号唯一；页码可以为空，表示该片段无法定位到具体页</w:t>
            </w:r>
          </w:p>
        </w:tc>
      </w:tr>
      <w:tr>
        <w:trPr>
          <w:cantSplit/>
        </w:trPr>
        <w:tc>
          <w:tcPr>
            <w:tcW w:type="dxa" w:w="20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会话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会话 ID、知识库 ID、用户 ID、标题、创建时间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会话必须归属于某一知识库与某一用户</w:t>
            </w:r>
          </w:p>
        </w:tc>
      </w:tr>
      <w:tr>
        <w:trPr>
          <w:cantSplit/>
        </w:trPr>
        <w:tc>
          <w:tcPr>
            <w:tcW w:type="dxa" w:w="20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消息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消息 ID、会话 ID、角色、内容、创建时间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角色取值为用户或助手；内容不为空</w:t>
            </w:r>
          </w:p>
        </w:tc>
      </w:tr>
      <w:tr>
        <w:trPr>
          <w:cantSplit/>
        </w:trPr>
        <w:tc>
          <w:tcPr>
            <w:tcW w:type="dxa" w:w="20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 ID、消息 ID、片段 ID、相似度、排序号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同一消息内排序号唯一；相似度为 0 至 1 之间的实数</w:t>
            </w:r>
          </w:p>
        </w:tc>
      </w:tr>
      <w:tr>
        <w:trPr>
          <w:cantSplit/>
        </w:trPr>
        <w:tc>
          <w:tcPr>
            <w:tcW w:type="dxa" w:w="20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反馈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反馈 ID、消息 ID、用户 ID、类型、原因、创建时间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类型取值为有用或无用；同一用户对同一消息只保留最新记录</w:t>
            </w:r>
          </w:p>
        </w:tc>
      </w:tr>
      <w:tr>
        <w:trPr>
          <w:cantSplit/>
        </w:trPr>
        <w:tc>
          <w:tcPr>
            <w:tcW w:type="dxa" w:w="20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模型配置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配置 ID、模型名称、参数、超时秒数、是否启用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同一时刻只允许一条配置处于启用状态</w:t>
            </w:r>
          </w:p>
        </w:tc>
      </w:tr>
      <w:tr>
        <w:trPr>
          <w:cantSplit/>
        </w:trPr>
        <w:tc>
          <w:tcPr>
            <w:tcW w:type="dxa" w:w="20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审计日志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日志 ID、操作人 ID、操作类型、操作对象、操作时间</w:t>
            </w:r>
          </w:p>
        </w:tc>
        <w:tc>
          <w:tcPr>
            <w:tcW w:type="dxa" w:w="350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日志只追加，不允许修改或删除</w:t>
            </w:r>
          </w:p>
        </w:tc>
      </w:tr>
    </w:tbl>
    <w:p>
      <w:pPr>
        <w:spacing w:after="40" w:line="240" w:lineRule="auto"/>
      </w:pP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3.2.2 数据保留与清理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1. 会话与消息默认长期保留，用户可主动删除自己的会话记录。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2. 被删除的文档进入回收状态，其片段与向量在索引中立即失效，避免继续被检索到。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3. 审计日志保留时间不短于课程项目周期，用于事后追溯。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4. 模型调用日志只记录调用耗时、状态与词元用量，不记录完整的问题与答案原文，降低隐私风险。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3.3 接口需求</w:t>
      </w: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3.3.1 用户界面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用户界面需求在第 4 章界面原型中集中描述。本节只约定界面层需要遵循的三条约束：所有列表类页面必须提供空态提示；所有耗时操作必须提供进度或加载反馈；所有失败操作必须给出可执行的原因说明与重试入口。</w:t>
      </w: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3.3.2 软件接口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系统需要与两类外部服务交互，两者都通过配置注入地址与凭据，不在代码中硬编码。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14 外部软件接口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268"/>
        <w:gridCol w:w="2268"/>
        <w:gridCol w:w="2268"/>
        <w:gridCol w:w="2268"/>
      </w:tblGrid>
      <w:tr>
        <w:trPr>
          <w:cantSplit/>
          <w:tblHeader w:val="true"/>
        </w:trPr>
        <w:tc>
          <w:tcPr>
            <w:tcW w:type="dxa" w:w="181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接口</w:t>
            </w:r>
          </w:p>
        </w:tc>
        <w:tc>
          <w:tcPr>
            <w:tcW w:type="dxa" w:w="24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用途</w:t>
            </w:r>
          </w:p>
        </w:tc>
        <w:tc>
          <w:tcPr>
            <w:tcW w:type="dxa" w:w="24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交互方式</w:t>
            </w:r>
          </w:p>
        </w:tc>
        <w:tc>
          <w:tcPr>
            <w:tcW w:type="dxa" w:w="24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主要约束</w:t>
            </w:r>
          </w:p>
        </w:tc>
      </w:tr>
      <w:tr>
        <w:trPr>
          <w:cantSplit/>
        </w:trPr>
        <w:tc>
          <w:tcPr>
            <w:tcW w:type="dxa" w:w="181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大语言模型服务</w:t>
            </w:r>
          </w:p>
        </w:tc>
        <w:tc>
          <w:tcPr>
            <w:tcW w:type="dxa" w:w="24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基于检索片段生成答案</w:t>
            </w:r>
          </w:p>
        </w:tc>
        <w:tc>
          <w:tcPr>
            <w:tcW w:type="dxa" w:w="24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HTTPS，兼容主流对话补全接口</w:t>
            </w:r>
          </w:p>
        </w:tc>
        <w:tc>
          <w:tcPr>
            <w:tcW w:type="dxa" w:w="24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支持超时与重试；模型名称可配置；失败时降级为提示信息，不返回空白回答</w:t>
            </w:r>
          </w:p>
        </w:tc>
      </w:tr>
      <w:tr>
        <w:trPr>
          <w:cantSplit/>
        </w:trPr>
        <w:tc>
          <w:tcPr>
            <w:tcW w:type="dxa" w:w="181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向量检索服务</w:t>
            </w:r>
          </w:p>
        </w:tc>
        <w:tc>
          <w:tcPr>
            <w:tcW w:type="dxa" w:w="24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保存与查询文本片段向量</w:t>
            </w:r>
          </w:p>
        </w:tc>
        <w:tc>
          <w:tcPr>
            <w:tcW w:type="dxa" w:w="24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本地进程或服务化接口</w:t>
            </w:r>
          </w:p>
        </w:tc>
        <w:tc>
          <w:tcPr>
            <w:tcW w:type="dxa" w:w="24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支持按知识库过滤；支持更新与删除；向量维度与所选嵌入模型一致</w:t>
            </w:r>
          </w:p>
        </w:tc>
      </w:tr>
      <w:tr>
        <w:trPr>
          <w:cantSplit/>
        </w:trPr>
        <w:tc>
          <w:tcPr>
            <w:tcW w:type="dxa" w:w="181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文档解析组件</w:t>
            </w:r>
          </w:p>
        </w:tc>
        <w:tc>
          <w:tcPr>
            <w:tcW w:type="dxa" w:w="24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从 PDF、Word 等格式中提取文本</w:t>
            </w:r>
          </w:p>
        </w:tc>
        <w:tc>
          <w:tcPr>
            <w:tcW w:type="dxa" w:w="24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进程内调用</w:t>
            </w:r>
          </w:p>
        </w:tc>
        <w:tc>
          <w:tcPr>
            <w:tcW w:type="dxa" w:w="242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解析失败时保留原始文件并记录失败原因</w:t>
            </w:r>
          </w:p>
        </w:tc>
      </w:tr>
    </w:tbl>
    <w:p>
      <w:pPr>
        <w:spacing w:after="40" w:line="240" w:lineRule="auto"/>
      </w:pP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系统对前端暴露的内部接口按资源组织，主要如下。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15 主要内部接口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3024"/>
        <w:gridCol w:w="3024"/>
        <w:gridCol w:w="3024"/>
      </w:tblGrid>
      <w:tr>
        <w:trPr>
          <w:cantSplit/>
          <w:tblHeader w:val="true"/>
        </w:trPr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接口</w:t>
            </w:r>
          </w:p>
        </w:tc>
        <w:tc>
          <w:tcPr>
            <w:tcW w:type="dxa" w:w="26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方法</w:t>
            </w:r>
          </w:p>
        </w:tc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用途</w:t>
            </w:r>
          </w:p>
        </w:tc>
      </w:tr>
      <w:tr>
        <w:trPr>
          <w:cantSplit/>
        </w:trPr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/api/auth/login</w:t>
            </w:r>
          </w:p>
        </w:tc>
        <w:tc>
          <w:tcPr>
            <w:tcW w:type="dxa" w:w="26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POST</w:t>
            </w:r>
          </w:p>
        </w:tc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用户登录并获取访问凭据</w:t>
            </w:r>
          </w:p>
        </w:tc>
      </w:tr>
      <w:tr>
        <w:trPr>
          <w:cantSplit/>
        </w:trPr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/api/knowledge-bases</w:t>
            </w:r>
          </w:p>
        </w:tc>
        <w:tc>
          <w:tcPr>
            <w:tcW w:type="dxa" w:w="26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GET / POST</w:t>
            </w:r>
          </w:p>
        </w:tc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查询知识库列表、创建知识库</w:t>
            </w:r>
          </w:p>
        </w:tc>
      </w:tr>
      <w:tr>
        <w:trPr>
          <w:cantSplit/>
        </w:trPr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/api/knowledge-bases/{id}/documents</w:t>
            </w:r>
          </w:p>
        </w:tc>
        <w:tc>
          <w:tcPr>
            <w:tcW w:type="dxa" w:w="26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GET / POST</w:t>
            </w:r>
          </w:p>
        </w:tc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查询文档列表、上传文档</w:t>
            </w:r>
          </w:p>
        </w:tc>
      </w:tr>
      <w:tr>
        <w:trPr>
          <w:cantSplit/>
        </w:trPr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/api/documents/{id}</w:t>
            </w:r>
          </w:p>
        </w:tc>
        <w:tc>
          <w:tcPr>
            <w:tcW w:type="dxa" w:w="26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DELETE</w:t>
            </w:r>
          </w:p>
        </w:tc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删除文档并使其片段失效</w:t>
            </w:r>
          </w:p>
        </w:tc>
      </w:tr>
      <w:tr>
        <w:trPr>
          <w:cantSplit/>
        </w:trPr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/api/conversations</w:t>
            </w:r>
          </w:p>
        </w:tc>
        <w:tc>
          <w:tcPr>
            <w:tcW w:type="dxa" w:w="26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GET / POST</w:t>
            </w:r>
          </w:p>
        </w:tc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查询会话列表、新建会话</w:t>
            </w:r>
          </w:p>
        </w:tc>
      </w:tr>
      <w:tr>
        <w:trPr>
          <w:cantSplit/>
        </w:trPr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/api/conversations/{id}/messages</w:t>
            </w:r>
          </w:p>
        </w:tc>
        <w:tc>
          <w:tcPr>
            <w:tcW w:type="dxa" w:w="26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POST</w:t>
            </w:r>
          </w:p>
        </w:tc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在会话中提问并获取带引用的回答</w:t>
            </w:r>
          </w:p>
        </w:tc>
      </w:tr>
      <w:tr>
        <w:trPr>
          <w:cantSplit/>
        </w:trPr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/api/messages/{id}/citations</w:t>
            </w:r>
          </w:p>
        </w:tc>
        <w:tc>
          <w:tcPr>
            <w:tcW w:type="dxa" w:w="26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GET</w:t>
            </w:r>
          </w:p>
        </w:tc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查询某条回答的引用片段详情</w:t>
            </w:r>
          </w:p>
        </w:tc>
      </w:tr>
      <w:tr>
        <w:trPr>
          <w:cantSplit/>
        </w:trPr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/api/messages/{id}/feedback</w:t>
            </w:r>
          </w:p>
        </w:tc>
        <w:tc>
          <w:tcPr>
            <w:tcW w:type="dxa" w:w="26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POST</w:t>
            </w:r>
          </w:p>
        </w:tc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提交对回答的评价</w:t>
            </w:r>
          </w:p>
        </w:tc>
      </w:tr>
      <w:tr>
        <w:trPr>
          <w:cantSplit/>
        </w:trPr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/api/knowledge-bases/{id}/gaps</w:t>
            </w:r>
          </w:p>
        </w:tc>
        <w:tc>
          <w:tcPr>
            <w:tcW w:type="dxa" w:w="26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GET</w:t>
            </w:r>
          </w:p>
        </w:tc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查询知识缺口清单</w:t>
            </w:r>
          </w:p>
        </w:tc>
      </w:tr>
      <w:tr>
        <w:trPr>
          <w:cantSplit/>
        </w:trPr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/api/knowledge-bases/{id}/members</w:t>
            </w:r>
          </w:p>
        </w:tc>
        <w:tc>
          <w:tcPr>
            <w:tcW w:type="dxa" w:w="266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GET / POST / DELETE</w:t>
            </w:r>
          </w:p>
        </w:tc>
        <w:tc>
          <w:tcPr>
            <w:tcW w:type="dxa" w:w="320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管理知识库成员与权限</w:t>
            </w:r>
          </w:p>
        </w:tc>
      </w:tr>
    </w:tbl>
    <w:p>
      <w:pPr>
        <w:spacing w:after="40" w:line="240" w:lineRule="auto"/>
      </w:pP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3.3.3 通信接口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1. 客户端与服务端之间采用 HTTPS，请求与响应体使用 JSON 格式，字符编码为 UTF-8。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2. 问答接口采用流式返回，前端逐段渲染，避免长时间等待造成误判。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3. 接口统一返回结构包含状态码、提示信息与数据体三部分，前端据此区分正常结果与业务异常。</w:t>
      </w:r>
    </w:p>
    <w:p>
      <w:pPr>
        <w:spacing w:after="60" w:line="360" w:lineRule="auto"/>
        <w:ind w:left="567" w:hanging="567"/>
      </w:pPr>
      <w:r>
        <w:rPr>
          <w:rFonts w:ascii="Times New Roman" w:hAnsi="Times New Roman" w:eastAsia="宋体"/>
          <w:b w:val="0"/>
          <w:sz w:val="24"/>
        </w:rPr>
        <w:t>4. 单次问答请求的服务端超时时间为 30 秒，超时后向用户返回可重试的提示。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3.4 非功能需求</w:t>
      </w: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3.4.1 可用性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16 可用性需求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需求描述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NFR-01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新用户在不阅读帮助文档的情况下，应能在 3 分钟内完成一次提问并看到带引用的答案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NFR-02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主链路的关键操作应控制在三次点击以内，例如从知识库列表进入问答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NFR-03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所有耗时操作必须提供进度或加载反馈，超过 2 秒未返回的操作不得出现无反馈的静止界面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NFR-04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用户输入错误时，系统应提示具体原因并保留已输入内容，不得清空表单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NFR-05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列表为空时应展示引导性空态，说明下一步可执行的操作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NFR-06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界面文字与背景的对比度应满足可读性要求，关键信息不依赖颜色单独区分</w:t>
            </w:r>
          </w:p>
        </w:tc>
      </w:tr>
    </w:tbl>
    <w:p>
      <w:pPr>
        <w:spacing w:after="40" w:line="240" w:lineRule="auto"/>
      </w:pP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3.4.2 安全性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17 安全性需求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需求描述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NFR-07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用户密码以加盐哈希方式存储，任何接口不得返回密码或其哈希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NFR-08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所有业务接口都需要校验访问凭据，未登录请求一律拒绝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NFR-09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知识库内容按授权范围隔离，用户访问未授权知识库时不得泄露文档标题或内容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NFR-10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敏感资料不进入公共知识库，知识库的可见范围在创建时明确指定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NFR-11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上传文件需校验类型与大小，拒绝可执行文件与超大文件，防止恶意文件进入解析流程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NFR-12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关键操作（创建知识库、修改权限、删除文档、变更模型配置）必须写入审计日志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NFR-13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模型调用不发送超出当前问题所需的资料片段，降低信息外泄面</w:t>
            </w:r>
          </w:p>
        </w:tc>
      </w:tr>
    </w:tbl>
    <w:p>
      <w:pPr>
        <w:spacing w:after="40" w:line="240" w:lineRule="auto"/>
      </w:pP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3.4.3 性能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18 性能需求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需求描述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NFR-14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在知识库包含 50 篇文档的规模下，问答请求的端到端响应时间不超过 8 秒（百分之九十五分位）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NFR-15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问答首段内容应在 3 秒内开始返回，后续内容以流式方式持续输出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NFR-16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单篇 10 兆字节以内的文档，从上传完成到状态变为已入库的时间不超过 5 分钟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NFR-17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在 20 名用户同时在线查询的条件下，系统不出现请求失败，响应时间不超过第 NFR-14 条要求的两倍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NFR-18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检索结果数量可配置，默认单次向模型提交不超过 5 个片段，控制响应时间与调用成本</w:t>
            </w:r>
          </w:p>
        </w:tc>
      </w:tr>
    </w:tbl>
    <w:p>
      <w:pPr>
        <w:spacing w:after="40" w:line="240" w:lineRule="auto"/>
      </w:pPr>
    </w:p>
    <w:p>
      <w:pPr>
        <w:pStyle w:val="Heading3"/>
      </w:pPr>
      <w:r>
        <w:rPr>
          <w:rFonts w:ascii="Times New Roman" w:hAnsi="Times New Roman" w:eastAsia="黑体"/>
          <w:b/>
          <w:sz w:val="25"/>
        </w:rPr>
        <w:t>3.4.4 可维护性与可移植性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19 可维护性与可移植性需求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需求描述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NFR-19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模型服务地址、模型名称与调用凭据通过配置文件注入，更换服务商不需要修改业务代码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NFR-20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向量检索组件可替换，替换后的上层检索流程保持不变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NFR-21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文档解析器以插件方式组织，新增一种文件格式不影响既有格式的解析逻辑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NFR-22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检索命中率、引用准确率、响应时间等关键指标应可被采样记录，便于后续调优</w:t>
            </w:r>
          </w:p>
        </w:tc>
      </w:tr>
      <w:tr>
        <w:trPr>
          <w:cantSplit/>
        </w:trPr>
        <w:tc>
          <w:tcPr>
            <w:tcW w:type="dxa" w:w="26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NFR-23</w:t>
            </w:r>
          </w:p>
        </w:tc>
        <w:tc>
          <w:tcPr>
            <w:tcW w:type="dxa" w:w="641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系统可通过容器化方式在单机部署，部署步骤记录在项目文档中，具备可复现性</w:t>
            </w:r>
          </w:p>
        </w:tc>
      </w:tr>
    </w:tbl>
    <w:p>
      <w:pPr>
        <w:spacing w:after="40" w:line="240" w:lineRule="auto"/>
      </w:pP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4 界面原型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本章描述界面的组织方式、页面构成与交互流程。原型采用中高保真形式制作，主链路上的五个页面为高保真，管理类页面为中保真。所有页面均按同一套设计规范绘制，规范见第 4.4 节。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4.1 信息架构与导航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系统的导航以知识库为中心组织：用户登录后进入知识库列表，从列表进入具体知识库后，可以在文档管理与智能问答之间切换。管理类功能只在具备相应权限时出现。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9341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信息架构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341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2 DevPulse 信息架构与导航结构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导航设计遵循三条原则。第一，全局最多两级导航，避免用户在层级中迷失。第二，当前所处的知识库在页面上方持续可见，用户随时知道自己在哪个知识库中提问。第三，无权限的入口直接不展示，而不是展示后点击报错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4.2 页面清单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20 页面清单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rPr>
          <w:cantSplit/>
          <w:tblHeader w:val="true"/>
        </w:trPr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20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页面名称</w:t>
            </w:r>
          </w:p>
        </w:tc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保真度</w:t>
            </w:r>
          </w:p>
        </w:tc>
        <w:tc>
          <w:tcPr>
            <w:tcW w:type="dxa" w:w="23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主要功能</w:t>
            </w:r>
          </w:p>
        </w:tc>
        <w:tc>
          <w:tcPr>
            <w:tcW w:type="dxa" w:w="17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可访问角色</w:t>
            </w:r>
          </w:p>
        </w:tc>
      </w:tr>
      <w:tr>
        <w:trPr>
          <w:cantSplit/>
        </w:trPr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P01</w:t>
            </w:r>
          </w:p>
        </w:tc>
        <w:tc>
          <w:tcPr>
            <w:tcW w:type="dxa" w:w="20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登录 / 注册</w:t>
            </w:r>
          </w:p>
        </w:tc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中保真</w:t>
            </w:r>
          </w:p>
        </w:tc>
        <w:tc>
          <w:tcPr>
            <w:tcW w:type="dxa" w:w="23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账号登录、注册、错误提示</w:t>
            </w:r>
          </w:p>
        </w:tc>
        <w:tc>
          <w:tcPr>
            <w:tcW w:type="dxa" w:w="17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全部</w:t>
            </w:r>
          </w:p>
        </w:tc>
      </w:tr>
      <w:tr>
        <w:trPr>
          <w:cantSplit/>
        </w:trPr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P02</w:t>
            </w:r>
          </w:p>
        </w:tc>
        <w:tc>
          <w:tcPr>
            <w:tcW w:type="dxa" w:w="20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知识库列表</w:t>
            </w:r>
          </w:p>
        </w:tc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中保真</w:t>
            </w:r>
          </w:p>
        </w:tc>
        <w:tc>
          <w:tcPr>
            <w:tcW w:type="dxa" w:w="23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浏览、搜索、新建知识库</w:t>
            </w:r>
          </w:p>
        </w:tc>
        <w:tc>
          <w:tcPr>
            <w:tcW w:type="dxa" w:w="17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全部</w:t>
            </w:r>
          </w:p>
        </w:tc>
      </w:tr>
      <w:tr>
        <w:trPr>
          <w:cantSplit/>
        </w:trPr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P03</w:t>
            </w:r>
          </w:p>
        </w:tc>
        <w:tc>
          <w:tcPr>
            <w:tcW w:type="dxa" w:w="20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知识库详情与文档管理</w:t>
            </w:r>
          </w:p>
        </w:tc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中保真</w:t>
            </w:r>
          </w:p>
        </w:tc>
        <w:tc>
          <w:tcPr>
            <w:tcW w:type="dxa" w:w="23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查看文档表格、上传、删除、重新索引</w:t>
            </w:r>
          </w:p>
        </w:tc>
        <w:tc>
          <w:tcPr>
            <w:tcW w:type="dxa" w:w="17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管理员、编辑者</w:t>
            </w:r>
          </w:p>
        </w:tc>
      </w:tr>
      <w:tr>
        <w:trPr>
          <w:cantSplit/>
        </w:trPr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P04</w:t>
            </w:r>
          </w:p>
        </w:tc>
        <w:tc>
          <w:tcPr>
            <w:tcW w:type="dxa" w:w="20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文档上传与解析</w:t>
            </w:r>
          </w:p>
        </w:tc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中保真</w:t>
            </w:r>
          </w:p>
        </w:tc>
        <w:tc>
          <w:tcPr>
            <w:tcW w:type="dxa" w:w="23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拖拽上传、解析进度、失败重试</w:t>
            </w:r>
          </w:p>
        </w:tc>
        <w:tc>
          <w:tcPr>
            <w:tcW w:type="dxa" w:w="17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管理员、编辑者</w:t>
            </w:r>
          </w:p>
        </w:tc>
      </w:tr>
      <w:tr>
        <w:trPr>
          <w:cantSplit/>
        </w:trPr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P05</w:t>
            </w:r>
          </w:p>
        </w:tc>
        <w:tc>
          <w:tcPr>
            <w:tcW w:type="dxa" w:w="20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智能问答</w:t>
            </w:r>
          </w:p>
        </w:tc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高保真</w:t>
            </w:r>
          </w:p>
        </w:tc>
        <w:tc>
          <w:tcPr>
            <w:tcW w:type="dxa" w:w="23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提问、查看流式回答、查看引用卡片</w:t>
            </w:r>
          </w:p>
        </w:tc>
        <w:tc>
          <w:tcPr>
            <w:tcW w:type="dxa" w:w="17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全部</w:t>
            </w:r>
          </w:p>
        </w:tc>
      </w:tr>
      <w:tr>
        <w:trPr>
          <w:cantSplit/>
        </w:trPr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P06</w:t>
            </w:r>
          </w:p>
        </w:tc>
        <w:tc>
          <w:tcPr>
            <w:tcW w:type="dxa" w:w="20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引用溯源抽屉</w:t>
            </w:r>
          </w:p>
        </w:tc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高保真</w:t>
            </w:r>
          </w:p>
        </w:tc>
        <w:tc>
          <w:tcPr>
            <w:tcW w:type="dxa" w:w="23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查看原文片段、页码、相似度、跳转原文</w:t>
            </w:r>
          </w:p>
        </w:tc>
        <w:tc>
          <w:tcPr>
            <w:tcW w:type="dxa" w:w="17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全部</w:t>
            </w:r>
          </w:p>
        </w:tc>
      </w:tr>
      <w:tr>
        <w:trPr>
          <w:cantSplit/>
        </w:trPr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P07</w:t>
            </w:r>
          </w:p>
        </w:tc>
        <w:tc>
          <w:tcPr>
            <w:tcW w:type="dxa" w:w="20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反馈评价</w:t>
            </w:r>
          </w:p>
        </w:tc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中保真</w:t>
            </w:r>
          </w:p>
        </w:tc>
        <w:tc>
          <w:tcPr>
            <w:tcW w:type="dxa" w:w="23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评价回答、选择原因、补充说明</w:t>
            </w:r>
          </w:p>
        </w:tc>
        <w:tc>
          <w:tcPr>
            <w:tcW w:type="dxa" w:w="17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全部</w:t>
            </w:r>
          </w:p>
        </w:tc>
      </w:tr>
      <w:tr>
        <w:trPr>
          <w:cantSplit/>
        </w:trPr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P08</w:t>
            </w:r>
          </w:p>
        </w:tc>
        <w:tc>
          <w:tcPr>
            <w:tcW w:type="dxa" w:w="20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知识缺口分析</w:t>
            </w:r>
          </w:p>
        </w:tc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中保真</w:t>
            </w:r>
          </w:p>
        </w:tc>
        <w:tc>
          <w:tcPr>
            <w:tcW w:type="dxa" w:w="23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查看未命中问题与低分回答、补充资料</w:t>
            </w:r>
          </w:p>
        </w:tc>
        <w:tc>
          <w:tcPr>
            <w:tcW w:type="dxa" w:w="17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管理员</w:t>
            </w:r>
          </w:p>
        </w:tc>
      </w:tr>
      <w:tr>
        <w:trPr>
          <w:cantSplit/>
        </w:trPr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P09</w:t>
            </w:r>
          </w:p>
        </w:tc>
        <w:tc>
          <w:tcPr>
            <w:tcW w:type="dxa" w:w="20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成员与权限管理</w:t>
            </w:r>
          </w:p>
        </w:tc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中保真</w:t>
            </w:r>
          </w:p>
        </w:tc>
        <w:tc>
          <w:tcPr>
            <w:tcW w:type="dxa" w:w="23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成员列表、角色设置、移除成员</w:t>
            </w:r>
          </w:p>
        </w:tc>
        <w:tc>
          <w:tcPr>
            <w:tcW w:type="dxa" w:w="17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管理员</w:t>
            </w:r>
          </w:p>
        </w:tc>
      </w:tr>
      <w:tr>
        <w:trPr>
          <w:cantSplit/>
        </w:trPr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P10</w:t>
            </w:r>
          </w:p>
        </w:tc>
        <w:tc>
          <w:tcPr>
            <w:tcW w:type="dxa" w:w="20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个人中心与设置</w:t>
            </w:r>
          </w:p>
        </w:tc>
        <w:tc>
          <w:tcPr>
            <w:tcW w:type="dxa" w:w="141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中保真</w:t>
            </w:r>
          </w:p>
        </w:tc>
        <w:tc>
          <w:tcPr>
            <w:tcW w:type="dxa" w:w="237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会话历史、模型偏好、账号设置</w:t>
            </w:r>
          </w:p>
        </w:tc>
        <w:tc>
          <w:tcPr>
            <w:tcW w:type="dxa" w:w="178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全部</w:t>
            </w:r>
          </w:p>
        </w:tc>
      </w:tr>
    </w:tbl>
    <w:p>
      <w:pPr>
        <w:spacing w:after="40" w:line="240" w:lineRule="auto"/>
      </w:pP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十个页面的原型截图如下，其中 P02 至 P06 构成问答主链路，按高保真绘制，其余管理类页面按中保真绘制。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1-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3 登录与注册页 P01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2-knowledge-bas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4 知识库列表页 P02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3-documen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5 知识库详情与文档管理页 P03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4-uploa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6 文档上传与解析页 P04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5-cha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7 智能问答页 P05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6-citatio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8 引用溯源抽屉 P06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7-feedback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9 反馈评价弹层 P07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8-gap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10 知识缺口分析页 P08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9-membe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11 成员与权限管理页 P09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10-profil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12 个人中心与设置页 P10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4.3 关键交互流程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系统有三条关键交互链路，分别对应知识入库、问答与引用、反馈与知识缺口处理。这三条链路构成系统的完整闭环，也是验收时的重点检查对象。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图 13 说明文档从上传到可被检索的完整过程，其中拦截点位于格式校验环节，避免不可解析的文件进入后续流程。图 14 是最核心的一条链路，检索为空时的处理分支同样重要，系统在无依据时选择明确告知而不是编造答案。图 15 说明反馈如何转化为知识库的改进动作，这条闭环是系统区别于一次性问答工具的关键。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493224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知识入库流程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9322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13 知识入库流程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140000" cy="532423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问答与引用流程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53242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14 智能问答与引用生成流程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476671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知识缺口闭环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7667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15 反馈与知识缺口闭环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4.4 界面设计规范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21 界面设计规范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规范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主色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深蓝色，用于主按钮、选中态与关键强调元素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辅助色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灰阶用于建立文本层级；绿色表示成功，橙色表示警告，红色表示错误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字体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全站使用同一无衬线字体，避免中英文混排时字形风格不一致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字号阶梯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页面标题 20 像素，区块标题 16 像素，正文 14 像素，辅助说明 12 像素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间距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采用 8 像素基准栅格，卡片内间距 16 像素，模块之间间距 24 像素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按钮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分为主要、次要、文字三种层级；同一区域最多出现一个主要按钮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输入框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具有默认、聚焦、错误三种状态，错误状态下方给出具体原因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引用卡片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统一为文档名、页码、相似度、片段摘要四段式结构，全站样式一致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反馈组件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以图标加文字的形式呈现，点击后可展开原因选项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表格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表头固定，行高不小于 40 像素，长文本允许换行而不截断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提示信息</w:t>
            </w:r>
          </w:p>
        </w:tc>
        <w:tc>
          <w:tcPr>
            <w:tcW w:type="dxa" w:w="62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采用行内提示或顶部轻提示，避免使用打断操作的模态弹窗</w:t>
            </w:r>
          </w:p>
        </w:tc>
      </w:tr>
    </w:tbl>
    <w:p>
      <w:pPr>
        <w:spacing w:after="40" w:line="240" w:lineRule="auto"/>
      </w:pP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4.5 状态设计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界面的完整程度主要体现在异常状态上。本节对核心页面 P05 明确四种状态的表现要求。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22 核心页面的状态设计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3024"/>
        <w:gridCol w:w="3024"/>
        <w:gridCol w:w="3024"/>
      </w:tblGrid>
      <w:tr>
        <w:trPr>
          <w:cantSplit/>
          <w:tblHeader w:val="true"/>
        </w:trPr>
        <w:tc>
          <w:tcPr>
            <w:tcW w:type="dxa" w:w="189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359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触发条件</w:t>
            </w:r>
          </w:p>
        </w:tc>
        <w:tc>
          <w:tcPr>
            <w:tcW w:type="dxa" w:w="359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界面表现</w:t>
            </w:r>
          </w:p>
        </w:tc>
      </w:tr>
      <w:tr>
        <w:trPr>
          <w:cantSplit/>
        </w:trPr>
        <w:tc>
          <w:tcPr>
            <w:tcW w:type="dxa" w:w="189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空态</w:t>
            </w:r>
          </w:p>
        </w:tc>
        <w:tc>
          <w:tcPr>
            <w:tcW w:type="dxa" w:w="359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知识库中尚无文档，或用户还没有任何会话</w:t>
            </w:r>
          </w:p>
        </w:tc>
        <w:tc>
          <w:tcPr>
            <w:tcW w:type="dxa" w:w="359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展示引导文案，并提供上传文档与开始提问两个主要操作入口，不出现空白页面</w:t>
            </w:r>
          </w:p>
        </w:tc>
      </w:tr>
      <w:tr>
        <w:trPr>
          <w:cantSplit/>
        </w:trPr>
        <w:tc>
          <w:tcPr>
            <w:tcW w:type="dxa" w:w="189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加载态</w:t>
            </w:r>
          </w:p>
        </w:tc>
        <w:tc>
          <w:tcPr>
            <w:tcW w:type="dxa" w:w="359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文档解析中，或模型正在生成回答</w:t>
            </w:r>
          </w:p>
        </w:tc>
        <w:tc>
          <w:tcPr>
            <w:tcW w:type="dxa" w:w="359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文档行显示解析阶段名称与进度；回答区域采用流式输出并提供停止生成按钮</w:t>
            </w:r>
          </w:p>
        </w:tc>
      </w:tr>
      <w:tr>
        <w:trPr>
          <w:cantSplit/>
        </w:trPr>
        <w:tc>
          <w:tcPr>
            <w:tcW w:type="dxa" w:w="189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错误态</w:t>
            </w:r>
          </w:p>
        </w:tc>
        <w:tc>
          <w:tcPr>
            <w:tcW w:type="dxa" w:w="359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解析失败、模型超时、网络中断</w:t>
            </w:r>
          </w:p>
        </w:tc>
        <w:tc>
          <w:tcPr>
            <w:tcW w:type="dxa" w:w="359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说明失败原因，提供重试按钮，并保留用户已输入的问题内容</w:t>
            </w:r>
          </w:p>
        </w:tc>
      </w:tr>
      <w:tr>
        <w:trPr>
          <w:cantSplit/>
        </w:trPr>
        <w:tc>
          <w:tcPr>
            <w:tcW w:type="dxa" w:w="189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无权限态</w:t>
            </w:r>
          </w:p>
        </w:tc>
        <w:tc>
          <w:tcPr>
            <w:tcW w:type="dxa" w:w="359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访问未获授权的知识库</w:t>
            </w:r>
          </w:p>
        </w:tc>
        <w:tc>
          <w:tcPr>
            <w:tcW w:type="dxa" w:w="359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展示无权限提示与申请访问入口，不显示任何文档标题或内容摘要</w:t>
            </w:r>
          </w:p>
        </w:tc>
      </w:tr>
    </w:tbl>
    <w:p>
      <w:pPr>
        <w:spacing w:after="40" w:line="240" w:lineRule="auto"/>
      </w:pP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四种状态在原型中的具体呈现如下。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1-empty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16 空态：知识库中还没有文档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2-loading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17 加载态：模型正在流式生成回答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3-error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18 错误态：模型超时后的提示与重试</w:t>
      </w:r>
    </w:p>
    <w:p>
      <w:pPr>
        <w:keepNext/>
        <w:spacing w:before="20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4-nopermission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图 19 无权限态：访问未授权知识库</w:t>
      </w: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5 功能描述及验收验证标准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5.1 具体功能描述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本节逐条描述功能需求。每条需求包含描述、输入、输出、异常处理、优先级与来源场景，编号在全文范围内唯一，并与第 5.4 节及附录 A 中的条目对应。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23 FR-01 用户注册与登录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功能描述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用户通过账号与密码注册和登录，登录后获得访问凭据，系统据此判定其角色与可访问的知识库范围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账号、密码；注册时另有确认密码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输出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登录成功后进入知识库列表页；失败时给出具体原因提示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异常处理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账号已存在、密码不符合复杂度要求、账号被停用、连续多次登录失败时给出不同提示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优先级与来源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高；基础功能，支撑全部场景</w:t>
            </w:r>
          </w:p>
        </w:tc>
      </w:tr>
    </w:tbl>
    <w:p>
      <w:pPr>
        <w:spacing w:after="40" w:line="240" w:lineRule="auto"/>
      </w:pP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24 FR-02 知识库创建与管理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功能描述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用户创建知识库并设置名称、描述与可见范围，创建者可修改信息或将知识库归档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知识库名称、描述、可见范围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输出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新知识库出现在列表中，创建者具有管理员权限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异常处理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名称重复时提示修改；无权操作的知识库不展示编辑入口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优先级与来源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高；支撑 SC-01 至 SC-04</w:t>
            </w:r>
          </w:p>
        </w:tc>
      </w:tr>
    </w:tbl>
    <w:p>
      <w:pPr>
        <w:spacing w:after="40" w:line="240" w:lineRule="auto"/>
      </w:pP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25 FR-03 文档上传与解析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功能描述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用户上传文档，系统解析文本、清洗内容、切分片段、生成向量并登记来源与版本信息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知识库标识、文档文件（Markdown、纯文本、PDF、Word）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输出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文档出现在管理列表中，状态由待解析、解析中、已入库依次变化；片段携带页码等来源信息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异常处理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文件类型不支持或超过大小限制时拒绝上传并说明原因；解析失败时保留原始文件并允许重试；同一文件重复上传时提示已存在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优先级与来源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高；支撑 SC-01、SC-02、SC-03</w:t>
            </w:r>
          </w:p>
        </w:tc>
      </w:tr>
    </w:tbl>
    <w:p>
      <w:pPr>
        <w:spacing w:after="40" w:line="240" w:lineRule="auto"/>
      </w:pP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26 FR-04 文档管理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功能描述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管理员查看文档列表、查看解析状态、删除文档或对文档重新索引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知识库标识、文档标识、操作类型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输出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列表状态同步更新；被删除文档的片段与向量立即失效，不再参与检索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异常处理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删除正在解析的文档时先中断解析任务；重新索引失败时保留原有片段，避免知识库内容丢失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优先级与来源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中；支撑 SC-04</w:t>
            </w:r>
          </w:p>
        </w:tc>
      </w:tr>
    </w:tbl>
    <w:p>
      <w:pPr>
        <w:spacing w:after="40" w:line="240" w:lineRule="auto"/>
      </w:pP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27 FR-05 智能问答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功能描述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用户用自然语言提问，系统在知识库范围内检索相关片段，由大语言模型基于片段生成答案，并附带引用来源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知识库标识、问题文本、会话上下文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输出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答案文本、引用片段列表（含文档名称、页码、相似度），以流式方式返回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异常处理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检索为空时明确提示知识库中没有相关内容；模型调用失败或超时时提示重试，不返回空白或部分生成的内容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优先级与来源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高；支撑 SC-01、SC-02、SC-03</w:t>
            </w:r>
          </w:p>
        </w:tc>
      </w:tr>
    </w:tbl>
    <w:p>
      <w:pPr>
        <w:spacing w:after="40" w:line="240" w:lineRule="auto"/>
      </w:pP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28 FR-06 引用溯源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功能描述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用户点击答案下方的引用卡片，查看支撑该结论的原文片段及其所在位置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引用标识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输出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弹出引用抽屉，展示原文片段、所属文档、页码与相似度，并提供跳转原文入口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异常处理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原文已被删除或更新时，提示该引用已失效并说明原因，不展示过期内容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优先级与来源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高；支撑 SC-01、SC-02、SC-03</w:t>
            </w:r>
          </w:p>
        </w:tc>
      </w:tr>
    </w:tbl>
    <w:p>
      <w:pPr>
        <w:spacing w:after="40" w:line="240" w:lineRule="auto"/>
      </w:pP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29 FR-07 多轮对话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功能描述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在同一会话中保留上下文，使用户可以针对上一轮回答继续追问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会话标识、追问文本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输出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结合上下文的答案，指代性表达被正确解析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异常处理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会话过长时对历史进行摘要压缩；上下文缺失时提示用户补充完整问题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优先级与来源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中；提升连续使用体验</w:t>
            </w:r>
          </w:p>
        </w:tc>
      </w:tr>
    </w:tbl>
    <w:p>
      <w:pPr>
        <w:spacing w:after="40" w:line="240" w:lineRule="auto"/>
      </w:pP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30 FR-08 回答反馈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功能描述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用户对回答标记有用或无用，选择原因并可选填补充说明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消息标识、评价类型、原因、补充说明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输出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反馈入库，管理员端可查看低分回答清单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异常处理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同一用户对同一条消息重复评价时覆盖此前记录；反馈提交失败时保留用户已选内容以便重试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优先级与来源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中；支撑 SC-04</w:t>
            </w:r>
          </w:p>
        </w:tc>
      </w:tr>
    </w:tbl>
    <w:p>
      <w:pPr>
        <w:spacing w:after="40" w:line="240" w:lineRule="auto"/>
      </w:pP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31 FR-09 知识缺口分析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功能描述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管理员查看高频未命中问题与低分回答清单，据此补充或修订知识库文档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知识库标识、统计时间范围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输出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按出现次数降序排列的缺口清单，以及每个问题对应的原始提问记录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异常处理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数据量不足时说明样本不足，不给出可能误导的结论；处理完成后条目状态更新为已处理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优先级与来源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中；支撑 SC-04</w:t>
            </w:r>
          </w:p>
        </w:tc>
      </w:tr>
    </w:tbl>
    <w:p>
      <w:pPr>
        <w:spacing w:after="40" w:line="240" w:lineRule="auto"/>
      </w:pP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32 FR-10 成员与权限管理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功能描述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管理员维护知识库成员名单与权限级别，普通用户只能访问被授权的知识库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知识库标识、用户标识、权限级别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输出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成员列表更新，权限变更立即生效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异常处理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移除成员时若该成员有进行中的会话，会话保留但其后续访问被拒绝；不允许移除知识库的唯一管理员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优先级与来源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中；支撑 NFR-09、NFR-10</w:t>
            </w:r>
          </w:p>
        </w:tc>
      </w:tr>
    </w:tbl>
    <w:p>
      <w:pPr>
        <w:spacing w:after="40" w:line="240" w:lineRule="auto"/>
      </w:pP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33 FR-11 模型配置管理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功能描述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系统管理员配置模型服务地址、模型名称、超时时间与调用参数，并可在必要时切换模型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模型服务地址、模型名称、参数、超时秒数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输出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配置生效，后续问答使用新配置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异常处理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保存前执行一次连通性校验；校验失败时拒绝保存并说明错误原因，保证原有配置继续可用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优先级与来源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中；支撑 NFR-19</w:t>
            </w:r>
          </w:p>
        </w:tc>
      </w:tr>
    </w:tbl>
    <w:p>
      <w:pPr>
        <w:spacing w:after="40" w:line="240" w:lineRule="auto"/>
      </w:pP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34 FR-12 审计日志查询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内容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功能描述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系统管理员按时间范围与操作类型查询关键操作记录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时间范围、操作类型、操作人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输出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按时间倒序排列的日志列表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异常处理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日志只追加不修改；查询范围过大时提示缩小范围，避免一次返回过多数据</w:t>
            </w:r>
          </w:p>
        </w:tc>
      </w:tr>
      <w:tr>
        <w:trPr>
          <w:cantSplit/>
        </w:trPr>
        <w:tc>
          <w:tcPr>
            <w:tcW w:type="dxa" w:w="335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优先级与来源</w:t>
            </w:r>
          </w:p>
        </w:tc>
        <w:tc>
          <w:tcPr>
            <w:tcW w:type="dxa" w:w="572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低；支撑 NFR-12</w:t>
            </w:r>
          </w:p>
        </w:tc>
      </w:tr>
    </w:tbl>
    <w:p>
      <w:pPr>
        <w:spacing w:after="40" w:line="240" w:lineRule="auto"/>
      </w:pP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5.2 输入输出格式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35 主要输入输出的格式约定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3024"/>
        <w:gridCol w:w="3024"/>
        <w:gridCol w:w="3024"/>
      </w:tblGrid>
      <w:tr>
        <w:trPr>
          <w:cantSplit/>
          <w:tblHeader w:val="true"/>
        </w:trPr>
        <w:tc>
          <w:tcPr>
            <w:tcW w:type="dxa" w:w="194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336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格式</w:t>
            </w:r>
          </w:p>
        </w:tc>
        <w:tc>
          <w:tcPr>
            <w:tcW w:type="dxa" w:w="375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194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上传文档</w:t>
            </w:r>
          </w:p>
        </w:tc>
        <w:tc>
          <w:tcPr>
            <w:tcW w:type="dxa" w:w="336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.md、.txt、.pdf、.docx</w:t>
            </w:r>
          </w:p>
        </w:tc>
        <w:tc>
          <w:tcPr>
            <w:tcW w:type="dxa" w:w="375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单个文件不超过 10 兆字节；扫描版 PDF 需可提取文本或经 OCR 处理</w:t>
            </w:r>
          </w:p>
        </w:tc>
      </w:tr>
      <w:tr>
        <w:trPr>
          <w:cantSplit/>
        </w:trPr>
        <w:tc>
          <w:tcPr>
            <w:tcW w:type="dxa" w:w="194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用户问题</w:t>
            </w:r>
          </w:p>
        </w:tc>
        <w:tc>
          <w:tcPr>
            <w:tcW w:type="dxa" w:w="336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纯文本，不超过 500 字</w:t>
            </w:r>
          </w:p>
        </w:tc>
        <w:tc>
          <w:tcPr>
            <w:tcW w:type="dxa" w:w="375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超出长度时提示截断或拆分提问</w:t>
            </w:r>
          </w:p>
        </w:tc>
      </w:tr>
      <w:tr>
        <w:trPr>
          <w:cantSplit/>
        </w:trPr>
        <w:tc>
          <w:tcPr>
            <w:tcW w:type="dxa" w:w="194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回答内容</w:t>
            </w:r>
          </w:p>
        </w:tc>
        <w:tc>
          <w:tcPr>
            <w:tcW w:type="dxa" w:w="336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Markdown 格式文本</w:t>
            </w:r>
          </w:p>
        </w:tc>
        <w:tc>
          <w:tcPr>
            <w:tcW w:type="dxa" w:w="375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支持标题、列表、代码块与表格的渲染</w:t>
            </w:r>
          </w:p>
        </w:tc>
      </w:tr>
      <w:tr>
        <w:trPr>
          <w:cantSplit/>
        </w:trPr>
        <w:tc>
          <w:tcPr>
            <w:tcW w:type="dxa" w:w="194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引用信息</w:t>
            </w:r>
          </w:p>
        </w:tc>
        <w:tc>
          <w:tcPr>
            <w:tcW w:type="dxa" w:w="336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结构化数据</w:t>
            </w:r>
          </w:p>
        </w:tc>
        <w:tc>
          <w:tcPr>
            <w:tcW w:type="dxa" w:w="375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包含文档名称、页码、片段文本、相似度与排序号</w:t>
            </w:r>
          </w:p>
        </w:tc>
      </w:tr>
      <w:tr>
        <w:trPr>
          <w:cantSplit/>
        </w:trPr>
        <w:tc>
          <w:tcPr>
            <w:tcW w:type="dxa" w:w="194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反馈记录</w:t>
            </w:r>
          </w:p>
        </w:tc>
        <w:tc>
          <w:tcPr>
            <w:tcW w:type="dxa" w:w="336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枚举加文本</w:t>
            </w:r>
          </w:p>
        </w:tc>
        <w:tc>
          <w:tcPr>
            <w:tcW w:type="dxa" w:w="375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类型为有用或无用，原因从预设选项中选择，补充说明不超过 200 字</w:t>
            </w:r>
          </w:p>
        </w:tc>
      </w:tr>
      <w:tr>
        <w:trPr>
          <w:cantSplit/>
        </w:trPr>
        <w:tc>
          <w:tcPr>
            <w:tcW w:type="dxa" w:w="194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导出内容</w:t>
            </w:r>
          </w:p>
        </w:tc>
        <w:tc>
          <w:tcPr>
            <w:tcW w:type="dxa" w:w="336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纯文本或 Markdown</w:t>
            </w:r>
          </w:p>
        </w:tc>
        <w:tc>
          <w:tcPr>
            <w:tcW w:type="dxa" w:w="375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会话内容可复制导出，导出内容保留引用来源信息</w:t>
            </w:r>
          </w:p>
        </w:tc>
      </w:tr>
    </w:tbl>
    <w:p>
      <w:pPr>
        <w:spacing w:after="40" w:line="240" w:lineRule="auto"/>
      </w:pP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5.3 界面验收标准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36 界面验收标准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3024"/>
        <w:gridCol w:w="3024"/>
        <w:gridCol w:w="3024"/>
      </w:tblGrid>
      <w:tr>
        <w:trPr>
          <w:cantSplit/>
          <w:tblHeader w:val="true"/>
        </w:trPr>
        <w:tc>
          <w:tcPr>
            <w:tcW w:type="dxa" w:w="198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284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验收项</w:t>
            </w:r>
          </w:p>
        </w:tc>
        <w:tc>
          <w:tcPr>
            <w:tcW w:type="dxa" w:w="42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验收标准</w:t>
            </w:r>
          </w:p>
        </w:tc>
      </w:tr>
      <w:tr>
        <w:trPr>
          <w:cantSplit/>
        </w:trPr>
        <w:tc>
          <w:tcPr>
            <w:tcW w:type="dxa" w:w="198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UI-01</w:t>
            </w:r>
          </w:p>
        </w:tc>
        <w:tc>
          <w:tcPr>
            <w:tcW w:type="dxa" w:w="284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页面清单完整性</w:t>
            </w:r>
          </w:p>
        </w:tc>
        <w:tc>
          <w:tcPr>
            <w:tcW w:type="dxa" w:w="42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表 20 中列出的十个页面均有对应原型页面，且可以从入口进入</w:t>
            </w:r>
          </w:p>
        </w:tc>
      </w:tr>
      <w:tr>
        <w:trPr>
          <w:cantSplit/>
        </w:trPr>
        <w:tc>
          <w:tcPr>
            <w:tcW w:type="dxa" w:w="198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UI-02</w:t>
            </w:r>
          </w:p>
        </w:tc>
        <w:tc>
          <w:tcPr>
            <w:tcW w:type="dxa" w:w="284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导航一致性</w:t>
            </w:r>
          </w:p>
        </w:tc>
        <w:tc>
          <w:tcPr>
            <w:tcW w:type="dxa" w:w="42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全局导航结构一致，任意页面均可在两步内返回知识库列表</w:t>
            </w:r>
          </w:p>
        </w:tc>
      </w:tr>
      <w:tr>
        <w:trPr>
          <w:cantSplit/>
        </w:trPr>
        <w:tc>
          <w:tcPr>
            <w:tcW w:type="dxa" w:w="198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UI-03</w:t>
            </w:r>
          </w:p>
        </w:tc>
        <w:tc>
          <w:tcPr>
            <w:tcW w:type="dxa" w:w="284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空态</w:t>
            </w:r>
          </w:p>
        </w:tc>
        <w:tc>
          <w:tcPr>
            <w:tcW w:type="dxa" w:w="42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文档列表为空、会话为空、缺口清单为空时均展示引导文案与下一步操作入口</w:t>
            </w:r>
          </w:p>
        </w:tc>
      </w:tr>
      <w:tr>
        <w:trPr>
          <w:cantSplit/>
        </w:trPr>
        <w:tc>
          <w:tcPr>
            <w:tcW w:type="dxa" w:w="198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UI-04</w:t>
            </w:r>
          </w:p>
        </w:tc>
        <w:tc>
          <w:tcPr>
            <w:tcW w:type="dxa" w:w="284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加载态</w:t>
            </w:r>
          </w:p>
        </w:tc>
        <w:tc>
          <w:tcPr>
            <w:tcW w:type="dxa" w:w="42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文档解析与答案生成过程均有可见的进度或流式输出反馈</w:t>
            </w:r>
          </w:p>
        </w:tc>
      </w:tr>
      <w:tr>
        <w:trPr>
          <w:cantSplit/>
        </w:trPr>
        <w:tc>
          <w:tcPr>
            <w:tcW w:type="dxa" w:w="198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UI-05</w:t>
            </w:r>
          </w:p>
        </w:tc>
        <w:tc>
          <w:tcPr>
            <w:tcW w:type="dxa" w:w="284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错误提示</w:t>
            </w:r>
          </w:p>
        </w:tc>
        <w:tc>
          <w:tcPr>
            <w:tcW w:type="dxa" w:w="42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表单校验失败、解析失败、超时三类错误均给出具体原因与可执行的重试入口</w:t>
            </w:r>
          </w:p>
        </w:tc>
      </w:tr>
      <w:tr>
        <w:trPr>
          <w:cantSplit/>
        </w:trPr>
        <w:tc>
          <w:tcPr>
            <w:tcW w:type="dxa" w:w="198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UI-06</w:t>
            </w:r>
          </w:p>
        </w:tc>
        <w:tc>
          <w:tcPr>
            <w:tcW w:type="dxa" w:w="284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无权限</w:t>
            </w:r>
          </w:p>
        </w:tc>
        <w:tc>
          <w:tcPr>
            <w:tcW w:type="dxa" w:w="42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访问未授权知识库时展示无权限提示，页面不出现文档标题与内容片段</w:t>
            </w:r>
          </w:p>
        </w:tc>
      </w:tr>
      <w:tr>
        <w:trPr>
          <w:cantSplit/>
        </w:trPr>
        <w:tc>
          <w:tcPr>
            <w:tcW w:type="dxa" w:w="198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UI-07</w:t>
            </w:r>
          </w:p>
        </w:tc>
        <w:tc>
          <w:tcPr>
            <w:tcW w:type="dxa" w:w="284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引用可见性</w:t>
            </w:r>
          </w:p>
        </w:tc>
        <w:tc>
          <w:tcPr>
            <w:tcW w:type="dxa" w:w="42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每条带引用的回答下方直接展示引用卡片，无需展开二级页面</w:t>
            </w:r>
          </w:p>
        </w:tc>
      </w:tr>
      <w:tr>
        <w:trPr>
          <w:cantSplit/>
        </w:trPr>
        <w:tc>
          <w:tcPr>
            <w:tcW w:type="dxa" w:w="198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UI-08</w:t>
            </w:r>
          </w:p>
        </w:tc>
        <w:tc>
          <w:tcPr>
            <w:tcW w:type="dxa" w:w="284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设计规范一致性</w:t>
            </w:r>
          </w:p>
        </w:tc>
        <w:tc>
          <w:tcPr>
            <w:tcW w:type="dxa" w:w="4234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主色、字号阶梯、间距与组件样式在全站保持一致</w:t>
            </w:r>
          </w:p>
        </w:tc>
      </w:tr>
    </w:tbl>
    <w:p>
      <w:pPr>
        <w:spacing w:after="40" w:line="240" w:lineRule="auto"/>
      </w:pP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5.4 功能验收标准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37 功能验收标准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>
        <w:trPr>
          <w:cantSplit/>
          <w:tblHeader w:val="true"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需求编号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验收项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前置条件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操作步骤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预期结果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判定方式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FR-01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登录成功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存在有效账号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输入正确账号与密码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进入知识库列表页，角色权限正确加载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FR-01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登录失败提示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存在有效账号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输入错误密码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提示密码错误，不清空账号输入框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FR-02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创建知识库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已登录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输入名称与可见范围后提交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新知识库出现在列表，创建者权限为管理员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FR-03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文档上传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已登录且具备编辑权限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上传一份 PDF 文档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文档进入列表，状态依次变为解析中与已入库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FR-03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不支持格式拦截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已登录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上传可执行文件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拒绝上传并说明支持的文件类型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FR-05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带引用问答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知识库中已有相关文档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输入一个业务问题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返回答案，引用卡片可点击并定位原文片段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FR-05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无依据时拒答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知识库中无相关内容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输入超出知识范围的问题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明确提示知识库中没有相关内容，不编造答案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FR-06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引用溯源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已产生带引用的回答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点击引用卡片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展示原文片段、文档名称、页码与相似度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FR-07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多轮追问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已有一轮对话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输入包含指代性表达的追问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系统结合上下文正确理解追问对象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FR-08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反馈记录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已产生至少一条回答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标记无用并选择原因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反馈入库，管理员端低分回答清单可见该条记录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FR-09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缺口清单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已积累未命中问题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打开知识缺口分析页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按出现次数降序展示缺口清单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FR-10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权限隔离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用户 A 无知识库 B 的权限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直接访问知识库 B 的地址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返回无权限提示，不泄露任何文档内容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安全测试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FR-11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配置校验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具备系统管理员权限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填写不可用的模型地址并保存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拒绝保存并说明原因，原配置继续生效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NFR-14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响应时间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知识库含 50 篇文档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连续提问 10 次并记录耗时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百分之九十五的请求端到端响应不超过 8 秒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性能测试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NFR-15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首段返回时间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知识库内容正常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提问并记录首段出现时间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首段内容在 3 秒内开始返回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性能测试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NFR-16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解析耗时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上传一份 10 兆字节以内文档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记录从上传完成到已入库的时间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耗时不超过 5 分钟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功能测试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NFR-17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并发访问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20 名用户同时在线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并发执行查询操作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无请求失败，响应时间不超过 16 秒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性能测试</w:t>
            </w:r>
          </w:p>
        </w:tc>
      </w:tr>
      <w:tr>
        <w:trPr>
          <w:cantSplit/>
        </w:trPr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NFR-22</w:t>
            </w:r>
          </w:p>
        </w:tc>
        <w:tc>
          <w:tcPr>
            <w:tcW w:type="dxa" w:w="1411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引用准确率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固定测试集 30 道题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人工核对引用片段是否支持结论</w:t>
            </w:r>
          </w:p>
        </w:tc>
        <w:tc>
          <w:tcPr>
            <w:tcW w:type="dxa" w:w="172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引用支持结论的比例不低于 90%</w:t>
            </w:r>
          </w:p>
        </w:tc>
        <w:tc>
          <w:tcPr>
            <w:tcW w:type="dxa" w:w="124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抽查评审</w:t>
            </w:r>
          </w:p>
        </w:tc>
      </w:tr>
    </w:tbl>
    <w:p>
      <w:pPr>
        <w:spacing w:after="40" w:line="240" w:lineRule="auto"/>
      </w:pP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附录 A 需求追溯矩阵</w:t>
      </w:r>
    </w:p>
    <w:p>
      <w:pPr>
        <w:ind w:firstLine="480"/>
      </w:pPr>
      <w:r>
        <w:rPr>
          <w:rFonts w:ascii="Times New Roman" w:hAnsi="Times New Roman" w:eastAsia="宋体"/>
          <w:b w:val="0"/>
          <w:sz w:val="24"/>
        </w:rPr>
        <w:t>矩阵用于核对需求来源与验证方式，确保每条需求都能追溯到具体场景，并落到具体的验收用例上。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38 需求追溯矩阵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rPr>
          <w:cantSplit/>
          <w:tblHeader w:val="true"/>
        </w:trPr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用户场景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功能需求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非功能需求</w:t>
            </w:r>
          </w:p>
        </w:tc>
        <w:tc>
          <w:tcPr>
            <w:tcW w:type="dxa" w:w="161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原型页面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验收条目</w:t>
            </w:r>
          </w:p>
        </w:tc>
      </w:tr>
      <w:tr>
        <w:trPr>
          <w:cantSplit/>
        </w:trPr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SC-01 新成员了解本地运行方式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FR-03、FR-05、FR-06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NFR-01、NFR-03、NFR-15</w:t>
            </w:r>
          </w:p>
        </w:tc>
        <w:tc>
          <w:tcPr>
            <w:tcW w:type="dxa" w:w="161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P03、P04、P05、P06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FR-03 文档上传、FR-05 带引用问答、UI-07</w:t>
            </w:r>
          </w:p>
        </w:tc>
      </w:tr>
      <w:tr>
        <w:trPr>
          <w:cantSplit/>
        </w:trPr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SC-02 开发成员了解历史设计决策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FR-04、FR-05、FR-06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NFR-04、NFR-22</w:t>
            </w:r>
          </w:p>
        </w:tc>
        <w:tc>
          <w:tcPr>
            <w:tcW w:type="dxa" w:w="161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P03、P05、P06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FR-05 无依据时拒答、FR-06 引用溯源、NFR-22</w:t>
            </w:r>
          </w:p>
        </w:tc>
      </w:tr>
      <w:tr>
        <w:trPr>
          <w:cantSplit/>
        </w:trPr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SC-03 助教生成可转发答复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FR-05、FR-06、FR-07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NFR-02、NFR-14</w:t>
            </w:r>
          </w:p>
        </w:tc>
        <w:tc>
          <w:tcPr>
            <w:tcW w:type="dxa" w:w="161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P05、P06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FR-05 带引用问答、FR-07 多轮追问、NFR-14</w:t>
            </w:r>
          </w:p>
        </w:tc>
      </w:tr>
      <w:tr>
        <w:trPr>
          <w:cantSplit/>
        </w:trPr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SC-04 管理员处理知识缺口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FR-08、FR-09、FR-10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NFR-10、NFR-12</w:t>
            </w:r>
          </w:p>
        </w:tc>
        <w:tc>
          <w:tcPr>
            <w:tcW w:type="dxa" w:w="161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P07、P08、P09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FR-08 反馈记录、FR-09 缺口清单、FR-10 权限隔离</w:t>
            </w:r>
          </w:p>
        </w:tc>
      </w:tr>
      <w:tr>
        <w:trPr>
          <w:cantSplit/>
        </w:trPr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全局约束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FR-01、FR-02、FR-11、FR-12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NFR-07 至 NFR-13、NFR-19 至 NFR-23</w:t>
            </w:r>
          </w:p>
        </w:tc>
        <w:tc>
          <w:tcPr>
            <w:tcW w:type="dxa" w:w="1618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P01、P02、P09、P10</w:t>
            </w:r>
          </w:p>
        </w:tc>
        <w:tc>
          <w:tcPr>
            <w:tcW w:type="dxa" w:w="186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FR-01 登录、FR-10 权限隔离、FR-11 配置校验</w:t>
            </w:r>
          </w:p>
        </w:tc>
      </w:tr>
    </w:tbl>
    <w:p>
      <w:pPr>
        <w:spacing w:after="40" w:line="240" w:lineRule="auto"/>
      </w:pP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附录 B 原型页面索引</w:t>
      </w:r>
    </w:p>
    <w:p>
      <w:pPr>
        <w:keepNext/>
        <w:spacing w:before="160" w:after="60"/>
        <w:ind w:firstLine="0"/>
        <w:jc w:val="center"/>
      </w:pPr>
      <w:r>
        <w:rPr>
          <w:rFonts w:ascii="Times New Roman" w:hAnsi="Times New Roman" w:eastAsia="黑体"/>
          <w:b w:val="0"/>
          <w:sz w:val="21"/>
        </w:rPr>
        <w:t>表 39 原型页面与需求的对应关系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268"/>
        <w:gridCol w:w="2268"/>
        <w:gridCol w:w="2268"/>
        <w:gridCol w:w="2268"/>
      </w:tblGrid>
      <w:tr>
        <w:trPr>
          <w:cantSplit/>
          <w:tblHeader w:val="true"/>
        </w:trPr>
        <w:tc>
          <w:tcPr>
            <w:tcW w:type="dxa" w:w="173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页面编号</w:t>
            </w:r>
          </w:p>
        </w:tc>
        <w:tc>
          <w:tcPr>
            <w:tcW w:type="dxa" w:w="267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页面名称</w:t>
            </w:r>
          </w:p>
        </w:tc>
        <w:tc>
          <w:tcPr>
            <w:tcW w:type="dxa" w:w="20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对应功能需求</w:t>
            </w:r>
          </w:p>
        </w:tc>
        <w:tc>
          <w:tcPr>
            <w:tcW w:type="dxa" w:w="260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D9E2F3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对应界面验收条目</w:t>
            </w:r>
          </w:p>
        </w:tc>
      </w:tr>
      <w:tr>
        <w:trPr>
          <w:cantSplit/>
        </w:trPr>
        <w:tc>
          <w:tcPr>
            <w:tcW w:type="dxa" w:w="173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P01</w:t>
            </w:r>
          </w:p>
        </w:tc>
        <w:tc>
          <w:tcPr>
            <w:tcW w:type="dxa" w:w="267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登录 / 注册</w:t>
            </w:r>
          </w:p>
        </w:tc>
        <w:tc>
          <w:tcPr>
            <w:tcW w:type="dxa" w:w="20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FR-01</w:t>
            </w:r>
          </w:p>
        </w:tc>
        <w:tc>
          <w:tcPr>
            <w:tcW w:type="dxa" w:w="260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UI-01、UI-05</w:t>
            </w:r>
          </w:p>
        </w:tc>
      </w:tr>
      <w:tr>
        <w:trPr>
          <w:cantSplit/>
        </w:trPr>
        <w:tc>
          <w:tcPr>
            <w:tcW w:type="dxa" w:w="173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P02</w:t>
            </w:r>
          </w:p>
        </w:tc>
        <w:tc>
          <w:tcPr>
            <w:tcW w:type="dxa" w:w="267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知识库列表</w:t>
            </w:r>
          </w:p>
        </w:tc>
        <w:tc>
          <w:tcPr>
            <w:tcW w:type="dxa" w:w="20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FR-02</w:t>
            </w:r>
          </w:p>
        </w:tc>
        <w:tc>
          <w:tcPr>
            <w:tcW w:type="dxa" w:w="260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UI-01、UI-03</w:t>
            </w:r>
          </w:p>
        </w:tc>
      </w:tr>
      <w:tr>
        <w:trPr>
          <w:cantSplit/>
        </w:trPr>
        <w:tc>
          <w:tcPr>
            <w:tcW w:type="dxa" w:w="173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P03</w:t>
            </w:r>
          </w:p>
        </w:tc>
        <w:tc>
          <w:tcPr>
            <w:tcW w:type="dxa" w:w="267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知识库详情与文档管理</w:t>
            </w:r>
          </w:p>
        </w:tc>
        <w:tc>
          <w:tcPr>
            <w:tcW w:type="dxa" w:w="20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FR-03、FR-04</w:t>
            </w:r>
          </w:p>
        </w:tc>
        <w:tc>
          <w:tcPr>
            <w:tcW w:type="dxa" w:w="260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UI-01、UI-03、UI-04</w:t>
            </w:r>
          </w:p>
        </w:tc>
      </w:tr>
      <w:tr>
        <w:trPr>
          <w:cantSplit/>
        </w:trPr>
        <w:tc>
          <w:tcPr>
            <w:tcW w:type="dxa" w:w="173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P04</w:t>
            </w:r>
          </w:p>
        </w:tc>
        <w:tc>
          <w:tcPr>
            <w:tcW w:type="dxa" w:w="267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文档上传与解析</w:t>
            </w:r>
          </w:p>
        </w:tc>
        <w:tc>
          <w:tcPr>
            <w:tcW w:type="dxa" w:w="20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FR-03</w:t>
            </w:r>
          </w:p>
        </w:tc>
        <w:tc>
          <w:tcPr>
            <w:tcW w:type="dxa" w:w="260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UI-04、UI-05</w:t>
            </w:r>
          </w:p>
        </w:tc>
      </w:tr>
      <w:tr>
        <w:trPr>
          <w:cantSplit/>
        </w:trPr>
        <w:tc>
          <w:tcPr>
            <w:tcW w:type="dxa" w:w="173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P05</w:t>
            </w:r>
          </w:p>
        </w:tc>
        <w:tc>
          <w:tcPr>
            <w:tcW w:type="dxa" w:w="267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智能问答</w:t>
            </w:r>
          </w:p>
        </w:tc>
        <w:tc>
          <w:tcPr>
            <w:tcW w:type="dxa" w:w="20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FR-05、FR-07</w:t>
            </w:r>
          </w:p>
        </w:tc>
        <w:tc>
          <w:tcPr>
            <w:tcW w:type="dxa" w:w="260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UI-01、UI-04、UI-07</w:t>
            </w:r>
          </w:p>
        </w:tc>
      </w:tr>
      <w:tr>
        <w:trPr>
          <w:cantSplit/>
        </w:trPr>
        <w:tc>
          <w:tcPr>
            <w:tcW w:type="dxa" w:w="173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P06</w:t>
            </w:r>
          </w:p>
        </w:tc>
        <w:tc>
          <w:tcPr>
            <w:tcW w:type="dxa" w:w="267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引用溯源抽屉</w:t>
            </w:r>
          </w:p>
        </w:tc>
        <w:tc>
          <w:tcPr>
            <w:tcW w:type="dxa" w:w="20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FR-06</w:t>
            </w:r>
          </w:p>
        </w:tc>
        <w:tc>
          <w:tcPr>
            <w:tcW w:type="dxa" w:w="260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UI-07</w:t>
            </w:r>
          </w:p>
        </w:tc>
      </w:tr>
      <w:tr>
        <w:trPr>
          <w:cantSplit/>
        </w:trPr>
        <w:tc>
          <w:tcPr>
            <w:tcW w:type="dxa" w:w="173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P07</w:t>
            </w:r>
          </w:p>
        </w:tc>
        <w:tc>
          <w:tcPr>
            <w:tcW w:type="dxa" w:w="267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反馈评价</w:t>
            </w:r>
          </w:p>
        </w:tc>
        <w:tc>
          <w:tcPr>
            <w:tcW w:type="dxa" w:w="20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FR-08</w:t>
            </w:r>
          </w:p>
        </w:tc>
        <w:tc>
          <w:tcPr>
            <w:tcW w:type="dxa" w:w="260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UI-01</w:t>
            </w:r>
          </w:p>
        </w:tc>
      </w:tr>
      <w:tr>
        <w:trPr>
          <w:cantSplit/>
        </w:trPr>
        <w:tc>
          <w:tcPr>
            <w:tcW w:type="dxa" w:w="173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P08</w:t>
            </w:r>
          </w:p>
        </w:tc>
        <w:tc>
          <w:tcPr>
            <w:tcW w:type="dxa" w:w="267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知识缺口分析</w:t>
            </w:r>
          </w:p>
        </w:tc>
        <w:tc>
          <w:tcPr>
            <w:tcW w:type="dxa" w:w="20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FR-09</w:t>
            </w:r>
          </w:p>
        </w:tc>
        <w:tc>
          <w:tcPr>
            <w:tcW w:type="dxa" w:w="260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UI-01、UI-03</w:t>
            </w:r>
          </w:p>
        </w:tc>
      </w:tr>
      <w:tr>
        <w:trPr>
          <w:cantSplit/>
        </w:trPr>
        <w:tc>
          <w:tcPr>
            <w:tcW w:type="dxa" w:w="173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P09</w:t>
            </w:r>
          </w:p>
        </w:tc>
        <w:tc>
          <w:tcPr>
            <w:tcW w:type="dxa" w:w="267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成员与权限管理</w:t>
            </w:r>
          </w:p>
        </w:tc>
        <w:tc>
          <w:tcPr>
            <w:tcW w:type="dxa" w:w="20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FR-10</w:t>
            </w:r>
          </w:p>
        </w:tc>
        <w:tc>
          <w:tcPr>
            <w:tcW w:type="dxa" w:w="260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UI-01、UI-06</w:t>
            </w:r>
          </w:p>
        </w:tc>
      </w:tr>
      <w:tr>
        <w:trPr>
          <w:cantSplit/>
        </w:trPr>
        <w:tc>
          <w:tcPr>
            <w:tcW w:type="dxa" w:w="173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P10</w:t>
            </w:r>
          </w:p>
        </w:tc>
        <w:tc>
          <w:tcPr>
            <w:tcW w:type="dxa" w:w="2679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个人中心与设置</w:t>
            </w:r>
          </w:p>
        </w:tc>
        <w:tc>
          <w:tcPr>
            <w:tcW w:type="dxa" w:w="205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FR-07、FR-11</w:t>
            </w:r>
          </w:p>
        </w:tc>
        <w:tc>
          <w:tcPr>
            <w:tcW w:type="dxa" w:w="260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shd w:val="clear" w:color="auto" w:fill="F4F7FB"/>
          </w:tcPr>
          <w:p>
            <w:pPr>
              <w:spacing w:line="276" w:lineRule="auto" w:before="20" w:after="2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UI-01</w:t>
            </w:r>
          </w:p>
        </w:tc>
      </w:tr>
    </w:tbl>
    <w:p>
      <w:pPr>
        <w:spacing w:after="40" w:line="240" w:lineRule="auto"/>
      </w:pPr>
    </w:p>
    <w:sectPr w:rsidR="00FC693F" w:rsidRPr="0006063C" w:rsidSect="00034616">
      <w:footerReference w:type="default" r:id="rId34"/>
      <w:headerReference w:type="default" r:id="rId35"/>
      <w:pgSz w:w="11906" w:h="16838"/>
      <w:pgMar w:top="1440" w:right="1417" w:bottom="1440" w:left="1417" w:header="850" w:footer="85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sz w:val="21"/>
      </w:rPr>
      <w:fldChar w:fldCharType="begin"/>
      <w:instrText xml:space="preserve">PAGE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sz w:val="21"/>
      </w:rPr>
      <w:fldChar w:fldCharType="begin"/>
      <w:instrText xml:space="preserve">PAGE</w:instrText>
      <w:fldChar w:fldCharType="separate"/>
      <w:t>1</w: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sz w:val="21"/>
      </w:rPr>
      <w:fldChar w:fldCharType="begin"/>
      <w:instrText xml:space="preserve">PAGE</w:instrText>
      <w:fldChar w:fldCharType="separate"/>
      <w:t>1</w:t>
      <w:fldChar w:fldCharType="end"/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sz w:val="21"/>
      </w:rP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space="1" w:color="BFBFBF"/>
      </w:pBdr>
    </w:pPr>
    <w:r>
      <w:rPr>
        <w:rFonts w:ascii="Times New Roman" w:hAnsi="Times New Roman" w:eastAsia="宋体"/>
        <w:b w:val="0"/>
        <w:color w:val="595959"/>
        <w:sz w:val="18"/>
      </w:rPr>
      <w:t>DevPulse 智能问答助手 · 软件需求规格说明书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space="1" w:color="BFBFBF"/>
      </w:pBdr>
    </w:pPr>
    <w:r>
      <w:rPr>
        <w:rFonts w:ascii="Times New Roman" w:hAnsi="Times New Roman" w:eastAsia="宋体"/>
        <w:b w:val="0"/>
        <w:color w:val="595959"/>
        <w:sz w:val="18"/>
      </w:rPr>
      <w:t>DevPulse 智能问答助手 · 软件需求规格说明书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space="1" w:color="BFBFBF"/>
      </w:pBdr>
    </w:pPr>
    <w:r>
      <w:rPr>
        <w:rFonts w:ascii="Times New Roman" w:hAnsi="Times New Roman" w:eastAsia="宋体"/>
        <w:b w:val="0"/>
        <w:color w:val="595959"/>
        <w:sz w:val="18"/>
      </w:rPr>
      <w:t>DevPulse 智能问答助手 · 软件需求规格说明书</w: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space="1" w:color="BFBFBF"/>
      </w:pBdr>
    </w:pPr>
    <w:r>
      <w:rPr>
        <w:rFonts w:ascii="Times New Roman" w:hAnsi="Times New Roman" w:eastAsia="宋体"/>
        <w:b w:val="0"/>
        <w:color w:val="595959"/>
        <w:sz w:val="18"/>
      </w:rPr>
      <w:t>DevPulse 智能问答助手 · 软件需求规格说明书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120"/>
      <w:jc w:val="both"/>
    </w:pPr>
    <w:rPr>
      <w:rFonts w:ascii="Times New Roman" w:hAnsi="Times New Roman" w:eastAsia="宋体"/>
      <w:b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40" w:line="312" w:lineRule="auto"/>
      <w:jc w:val="left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60" w:line="312" w:lineRule="auto"/>
      <w:jc w:val="left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="312" w:lineRule="auto"/>
      <w:jc w:val="left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color w:val="000000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120" w:line="312" w:lineRule="auto"/>
      <w:jc w:val="left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 w:eastAsia="黑体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footer" Target="footer1.xml"/><Relationship Id="rId29" Type="http://schemas.openxmlformats.org/officeDocument/2006/relationships/header" Target="header1.xml"/><Relationship Id="rId30" Type="http://schemas.openxmlformats.org/officeDocument/2006/relationships/footer" Target="footer2.xml"/><Relationship Id="rId31" Type="http://schemas.openxmlformats.org/officeDocument/2006/relationships/header" Target="header2.xml"/><Relationship Id="rId32" Type="http://schemas.openxmlformats.org/officeDocument/2006/relationships/footer" Target="footer3.xml"/><Relationship Id="rId33" Type="http://schemas.openxmlformats.org/officeDocument/2006/relationships/header" Target="header3.xml"/><Relationship Id="rId34" Type="http://schemas.openxmlformats.org/officeDocument/2006/relationships/footer" Target="footer4.xml"/><Relationship Id="rId35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