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nyLabel"/>
      </w:pPr>
      <w:r>
        <w:t>DAY 04   /   2026.10.26</w:t>
      </w:r>
    </w:p>
    <w:p>
      <w:pPr>
        <w:pStyle w:val="Title"/>
      </w:pPr>
      <w:r>
        <w:t>Bug 分级与公共接口修复</w:t>
        <w:br/>
        <w:t>第二轮集成验收记录</w:t>
      </w:r>
    </w:p>
    <w:p>
      <w:pPr>
        <w:pStyle w:val="Subtitle"/>
      </w:pPr>
      <w:r>
        <w:t>NULL 团队  ·  数据结构可视化学习平台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7"/>
        <w:gridCol w:w="4752"/>
        <w:gridCol w:w="2160"/>
      </w:tblGrid>
      <w:tr>
        <w:trPr>
          <w:tblHeader/>
          <w:cantSplit/>
        </w:trPr>
        <w:tc>
          <w:tcPr>
            <w:tcW w:type="dxa" w:w="3067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8"/>
              </w:rPr>
              <w:t>负责人</w:t>
            </w:r>
          </w:p>
        </w:tc>
        <w:tc>
          <w:tcPr>
            <w:tcW w:type="dxa" w:w="4752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8"/>
              </w:rPr>
              <w:t>关联工作</w:t>
            </w:r>
          </w:p>
        </w:tc>
        <w:tc>
          <w:tcPr>
            <w:tcW w:type="dxa" w:w="2160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8"/>
              </w:rPr>
              <w:t>文档版本</w:t>
            </w:r>
          </w:p>
        </w:tc>
      </w:tr>
      <w:tr>
        <w:trPr>
          <w:cantSplit/>
        </w:trPr>
        <w:tc>
          <w:tcPr>
            <w:tcW w:type="dxa" w:w="30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詹志瑜 / 成员 1（组长、PM / Tech Lead）</w:t>
            </w:r>
          </w:p>
        </w:tc>
        <w:tc>
          <w:tcPr>
            <w:tcW w:type="dxa" w:w="475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Day 3 缺陷归类、公共状态修复、MR 评审、二轮联调</w:t>
            </w:r>
          </w:p>
        </w:tc>
        <w:tc>
          <w:tcPr>
            <w:tcW w:type="dxa" w:w="216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v1.0 / Day 4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94"/>
            <w:shd w:fill="F1F5F8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color w:val="19364C"/>
                <w:sz w:val="19"/>
              </w:rPr>
              <w:t>本日 P0 目标：优先恢复并稳定“10→20→40，在 20 后插入 30，得到 10→20→30→40”的完整教学链路。所有修复必须有对应 Issue/MR、复现依据与回归证据；没有执行记录的项目不计为“已修复/已通过”。</w:t>
            </w:r>
          </w:p>
        </w:tc>
      </w:tr>
    </w:tbl>
    <w:p>
      <w:pPr>
        <w:spacing w:after="0"/>
      </w:pPr>
    </w:p>
    <w:p>
      <w:pPr>
        <w:pStyle w:val="Heading1"/>
      </w:pPr>
      <w:r>
        <w:t>执行摘要</w:t>
      </w:r>
    </w:p>
    <w:p>
      <w:r>
        <w:t>Day 3 进入了黄金样例首次端到端联调，Day 4 按冲刺计划转入“边界处理与稳定性提升”。组长负责汇总联调问题，判定优先级，组织公共状态与接口补丁审核，完成第二轮集成验收。</w:t>
      </w:r>
    </w:p>
    <w:p>
      <w:r>
        <w:t>已知进度基线：Day 3 实际剩余 47 点，计划剩余 44 点；Day 4 计划剩余 29 点。Day 4 实际剩余任务点需依据当日通过验收的 Issue 重新统计。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5832"/>
        <w:gridCol w:w="2203"/>
      </w:tblGrid>
      <w:tr>
        <w:trPr>
          <w:tblHeader/>
          <w:cantSplit/>
        </w:trPr>
        <w:tc>
          <w:tcPr>
            <w:tcW w:type="dxa" w:w="1944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工作项</w:t>
            </w:r>
          </w:p>
        </w:tc>
        <w:tc>
          <w:tcPr>
            <w:tcW w:type="dxa" w:w="5832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本文件提供的可执行成果</w:t>
            </w:r>
          </w:p>
        </w:tc>
        <w:tc>
          <w:tcPr>
            <w:tcW w:type="dxa" w:w="2203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当前核验状态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D3 Bug 分类 / 排序</w:t>
            </w:r>
          </w:p>
        </w:tc>
        <w:tc>
          <w:tcPr>
            <w:tcW w:type="dxa" w:w="583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分类规则、候选问题清单、优先级与分派矩阵</w:t>
            </w:r>
          </w:p>
        </w:tc>
        <w:tc>
          <w:tcPr>
            <w:tcW w:type="dxa" w:w="2203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待对照真实 Bug Issue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公共状态 / 接口修复</w:t>
            </w:r>
          </w:p>
        </w:tc>
        <w:tc>
          <w:tcPr>
            <w:tcW w:type="dxa" w:w="583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统一状态约束、6 项补丁方案、回归标准</w:t>
            </w:r>
          </w:p>
        </w:tc>
        <w:tc>
          <w:tcPr>
            <w:tcW w:type="dxa" w:w="2203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方案完成；代码待验证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补丁 / MR 评审</w:t>
            </w:r>
          </w:p>
        </w:tc>
        <w:tc>
          <w:tcPr>
            <w:tcW w:type="dxa" w:w="583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逐类审核门槛、评审意见模板和评审台账</w:t>
            </w:r>
          </w:p>
        </w:tc>
        <w:tc>
          <w:tcPr>
            <w:tcW w:type="dxa" w:w="2203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待补实际 MR 证据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第二轮集成验收</w:t>
            </w:r>
          </w:p>
        </w:tc>
        <w:tc>
          <w:tcPr>
            <w:tcW w:type="dxa" w:w="583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12 项测试脚本、通过门槛、验收结论模板</w:t>
            </w:r>
          </w:p>
        </w:tc>
        <w:tc>
          <w:tcPr>
            <w:tcW w:type="dxa" w:w="2203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待运行并签字</w:t>
            </w:r>
          </w:p>
        </w:tc>
      </w:tr>
    </w:tbl>
    <w:p>
      <w:pPr>
        <w:spacing w:after="0"/>
      </w:pPr>
    </w:p>
    <w:p>
      <w:pPr>
        <w:pStyle w:val="Heading1"/>
      </w:pPr>
      <w:r>
        <w:t>01  Day 3 问题归类与优先级</w:t>
      </w:r>
    </w:p>
    <w:p>
      <w:r>
        <w:t>问题归类以 Day 3 联调记录中的七条接口链路和当日协作职责为依据；下表是优先排查清单，不等同于已经实际发生的 Bug 数量。</w:t>
      </w:r>
    </w:p>
    <w:p>
      <w:pPr>
        <w:pStyle w:val="Heading2"/>
      </w:pPr>
      <w:r>
        <w:t>1.1 分级判定口径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4968"/>
        <w:gridCol w:w="3283"/>
      </w:tblGrid>
      <w:tr>
        <w:trPr>
          <w:tblHeader/>
          <w:cantSplit/>
        </w:trPr>
        <w:tc>
          <w:tcPr>
            <w:tcW w:type="dxa" w:w="1728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级别</w:t>
            </w:r>
          </w:p>
        </w:tc>
        <w:tc>
          <w:tcPr>
            <w:tcW w:type="dxa" w:w="4968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判定条件</w:t>
            </w:r>
          </w:p>
        </w:tc>
        <w:tc>
          <w:tcPr>
            <w:tcW w:type="dxa" w:w="3283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处理原则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P0 / 阻断</w:t>
            </w:r>
          </w:p>
        </w:tc>
        <w:tc>
          <w:tcPr>
            <w:tcW w:type="dxa" w:w="496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黄金样例无法完成；数据结构错误；步骤推进失控；无法构建或访问演示版</w:t>
            </w:r>
          </w:p>
        </w:tc>
        <w:tc>
          <w:tcPr>
            <w:tcW w:type="dxa" w:w="3283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立即修复，阻止新功能合并，修复后必须二轮回归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P1 / 重要</w:t>
            </w:r>
          </w:p>
        </w:tc>
        <w:tc>
          <w:tcPr>
            <w:tcW w:type="dxa" w:w="496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黄金样例可完成但存在暂停/回退/高亮不同步或错误提示缺失</w:t>
            </w:r>
          </w:p>
        </w:tc>
        <w:tc>
          <w:tcPr>
            <w:tcW w:type="dxa" w:w="3283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当日优先处理，不能带入最终稳定版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P2 / 一般</w:t>
            </w:r>
          </w:p>
        </w:tc>
        <w:tc>
          <w:tcPr>
            <w:tcW w:type="dxa" w:w="496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视觉细节、轻微排版、非主路径体验问题</w:t>
            </w:r>
          </w:p>
        </w:tc>
        <w:tc>
          <w:tcPr>
            <w:tcW w:type="dxa" w:w="3283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记录并排期，不占用 P0 修复资源</w:t>
            </w:r>
          </w:p>
        </w:tc>
      </w:tr>
    </w:tbl>
    <w:p>
      <w:pPr>
        <w:spacing w:after="0"/>
      </w:pPr>
    </w:p>
    <w:p>
      <w:r>
        <w:t>优先级综合考虑：对 P0 黄金链路的影响、可复现性、影响模块数量和修复后回归成本。无法复现的反馈先收集环境与操作日志，暂不宣布已经修复。</w:t>
      </w:r>
    </w:p>
    <w:p>
      <w:pPr>
        <w:pStyle w:val="Heading2"/>
      </w:pPr>
      <w:r>
        <w:t>1.2 Day 3 风险 / Bug 候选核对表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4"/>
        <w:gridCol w:w="5544"/>
        <w:gridCol w:w="1498"/>
        <w:gridCol w:w="1224"/>
      </w:tblGrid>
      <w:tr>
        <w:trPr>
          <w:tblHeader/>
          <w:cantSplit/>
        </w:trPr>
        <w:tc>
          <w:tcPr>
            <w:tcW w:type="dxa" w:w="1714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ID / 类别</w:t>
            </w:r>
          </w:p>
        </w:tc>
        <w:tc>
          <w:tcPr>
            <w:tcW w:type="dxa" w:w="5544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复现关注点及判断依据</w:t>
            </w:r>
          </w:p>
        </w:tc>
        <w:tc>
          <w:tcPr>
            <w:tcW w:type="dxa" w:w="1498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建议级别</w:t>
            </w:r>
          </w:p>
        </w:tc>
        <w:tc>
          <w:tcPr>
            <w:tcW w:type="dxa" w:w="1224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核查 / 主责</w:t>
            </w:r>
          </w:p>
        </w:tc>
      </w:tr>
      <w:tr>
        <w:trPr>
          <w:cantSplit/>
        </w:trPr>
        <w:tc>
          <w:tcPr>
            <w:tcW w:type="dxa" w:w="171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C-01 / Step 契约</w:t>
            </w:r>
          </w:p>
        </w:tc>
        <w:tc>
          <w:tcPr>
            <w:tcW w:type="dxa" w:w="55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Step 字段、顺序和快照与 Controller 消费约定不一致；特别核对 variables、codeLine、description</w:t>
            </w:r>
          </w:p>
        </w:tc>
        <w:tc>
          <w:tcPr>
            <w:tcW w:type="dxa" w:w="149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P0（若阻断）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1、5、6</w:t>
            </w:r>
          </w:p>
        </w:tc>
      </w:tr>
      <w:tr>
        <w:trPr>
          <w:cantSplit/>
        </w:trPr>
        <w:tc>
          <w:tcPr>
            <w:tcW w:type="dxa" w:w="171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C-02 / 公共状态</w:t>
            </w:r>
          </w:p>
        </w:tc>
        <w:tc>
          <w:tcPr>
            <w:tcW w:type="dxa" w:w="55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Controller 与播放器各自维护索引；回退后 UI / 动画状态错位</w:t>
            </w:r>
          </w:p>
        </w:tc>
        <w:tc>
          <w:tcPr>
            <w:tcW w:type="dxa" w:w="149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P0（若错链）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1、4</w:t>
            </w:r>
          </w:p>
        </w:tc>
      </w:tr>
      <w:tr>
        <w:trPr>
          <w:cantSplit/>
        </w:trPr>
        <w:tc>
          <w:tcPr>
            <w:tcW w:type="dxa" w:w="171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C-03 / 动画与指针</w:t>
            </w:r>
          </w:p>
        </w:tc>
        <w:tc>
          <w:tcPr>
            <w:tcW w:type="dxa" w:w="55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30 节点提前进入主链表，或节点/指针连线更新顺序不正确</w:t>
            </w:r>
          </w:p>
        </w:tc>
        <w:tc>
          <w:tcPr>
            <w:tcW w:type="dxa" w:w="149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P0（若结果错）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3、5</w:t>
            </w:r>
          </w:p>
        </w:tc>
      </w:tr>
      <w:tr>
        <w:trPr>
          <w:cantSplit/>
        </w:trPr>
        <w:tc>
          <w:tcPr>
            <w:tcW w:type="dxa" w:w="171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C-04 / 同步教学</w:t>
            </w:r>
          </w:p>
        </w:tc>
        <w:tc>
          <w:tcPr>
            <w:tcW w:type="dxa" w:w="55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高亮代码行或步骤解释不对应当前 Step</w:t>
            </w:r>
          </w:p>
        </w:tc>
        <w:tc>
          <w:tcPr>
            <w:tcW w:type="dxa" w:w="149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P1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1、6</w:t>
            </w:r>
          </w:p>
        </w:tc>
      </w:tr>
      <w:tr>
        <w:trPr>
          <w:cantSplit/>
        </w:trPr>
        <w:tc>
          <w:tcPr>
            <w:tcW w:type="dxa" w:w="171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C-05 / 控制时序</w:t>
            </w:r>
          </w:p>
        </w:tc>
        <w:tc>
          <w:tcPr>
            <w:tcW w:type="dxa" w:w="55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连点、暂停后恢复、回退后播放导致重复推进或残留动画</w:t>
            </w:r>
          </w:p>
        </w:tc>
        <w:tc>
          <w:tcPr>
            <w:tcW w:type="dxa" w:w="149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P0 / P1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3、4</w:t>
            </w:r>
          </w:p>
        </w:tc>
      </w:tr>
      <w:tr>
        <w:trPr>
          <w:cantSplit/>
        </w:trPr>
        <w:tc>
          <w:tcPr>
            <w:tcW w:type="dxa" w:w="171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C-06 / 输入异常</w:t>
            </w:r>
          </w:p>
        </w:tc>
        <w:tc>
          <w:tcPr>
            <w:tcW w:type="dxa" w:w="55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空链表、非法位置等未拦截，错误状态进入算法流程</w:t>
            </w:r>
          </w:p>
        </w:tc>
        <w:tc>
          <w:tcPr>
            <w:tcW w:type="dxa" w:w="149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P1；影响主链路则 P0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2、5、7</w:t>
            </w:r>
          </w:p>
        </w:tc>
      </w:tr>
      <w:tr>
        <w:trPr>
          <w:cantSplit/>
        </w:trPr>
        <w:tc>
          <w:tcPr>
            <w:tcW w:type="dxa" w:w="171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C-07 / 构建部署</w:t>
            </w:r>
          </w:p>
        </w:tc>
        <w:tc>
          <w:tcPr>
            <w:tcW w:type="dxa" w:w="554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集成后依赖、资源路径或构建流程出错</w:t>
            </w:r>
          </w:p>
        </w:tc>
        <w:tc>
          <w:tcPr>
            <w:tcW w:type="dxa" w:w="149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P0（不可演示）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8、1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94"/>
            <w:shd w:fill="F1F5F8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color w:val="19364C"/>
                <w:sz w:val="19"/>
              </w:rPr>
              <w:t>执行要求：先打开 Day 3 的真实 Issue / E2E 日志，将可复现的项转换为正式 Bug 编号；不可复现的候选项标记“未证实”。不能用 C-01 等排查编号冒充真实 Bug。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i/>
          <w:color w:val="596977"/>
          <w:sz w:val="18"/>
        </w:rPr>
        <w:t>证据留存｜Day 3 Bug Issue 列表：【待补链接】；E2E / 控制器运行日志：【待补】。</w:t>
      </w:r>
    </w:p>
    <w:p>
      <w:pPr>
        <w:pStyle w:val="Heading2"/>
      </w:pPr>
      <w:r>
        <w:t>1.3 Bug 分派与闭环记录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5"/>
        <w:gridCol w:w="3859"/>
        <w:gridCol w:w="1901"/>
        <w:gridCol w:w="2534"/>
      </w:tblGrid>
      <w:tr>
        <w:trPr>
          <w:tblHeader/>
          <w:cantSplit/>
        </w:trPr>
        <w:tc>
          <w:tcPr>
            <w:tcW w:type="dxa" w:w="1685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真实 Bug ID</w:t>
            </w:r>
          </w:p>
        </w:tc>
        <w:tc>
          <w:tcPr>
            <w:tcW w:type="dxa" w:w="3859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复现步骤 / 实际表现</w:t>
            </w:r>
          </w:p>
        </w:tc>
        <w:tc>
          <w:tcPr>
            <w:tcW w:type="dxa" w:w="1901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责任人 / 优先级</w:t>
            </w:r>
          </w:p>
        </w:tc>
        <w:tc>
          <w:tcPr>
            <w:tcW w:type="dxa" w:w="2534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修复 MR / 回归结论</w:t>
            </w:r>
          </w:p>
        </w:tc>
      </w:tr>
      <w:tr>
        <w:trPr>
          <w:cantSplit/>
        </w:trPr>
        <w:tc>
          <w:tcPr>
            <w:tcW w:type="dxa" w:w="1685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【待录入】</w:t>
            </w:r>
          </w:p>
        </w:tc>
        <w:tc>
          <w:tcPr>
            <w:tcW w:type="dxa" w:w="3859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【初始链表、动作、预期与实际】</w:t>
            </w:r>
          </w:p>
        </w:tc>
        <w:tc>
          <w:tcPr>
            <w:tcW w:type="dxa" w:w="190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【姓名 / P0-P2】</w:t>
            </w:r>
          </w:p>
        </w:tc>
        <w:tc>
          <w:tcPr>
            <w:tcW w:type="dxa" w:w="253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【MR 地址 / 待回归】</w:t>
            </w:r>
          </w:p>
        </w:tc>
      </w:tr>
      <w:tr>
        <w:trPr>
          <w:cantSplit/>
        </w:trPr>
        <w:tc>
          <w:tcPr>
            <w:tcW w:type="dxa" w:w="1685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【待录入】</w:t>
            </w:r>
          </w:p>
        </w:tc>
        <w:tc>
          <w:tcPr>
            <w:tcW w:type="dxa" w:w="3859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【具体环境与截图】</w:t>
            </w:r>
          </w:p>
        </w:tc>
        <w:tc>
          <w:tcPr>
            <w:tcW w:type="dxa" w:w="190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【姓名 / P0-P2】</w:t>
            </w:r>
          </w:p>
        </w:tc>
        <w:tc>
          <w:tcPr>
            <w:tcW w:type="dxa" w:w="253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【MR 地址 / 待回归】</w:t>
            </w:r>
          </w:p>
        </w:tc>
      </w:tr>
      <w:tr>
        <w:trPr>
          <w:cantSplit/>
        </w:trPr>
        <w:tc>
          <w:tcPr>
            <w:tcW w:type="dxa" w:w="1685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【待录入】</w:t>
            </w:r>
          </w:p>
        </w:tc>
        <w:tc>
          <w:tcPr>
            <w:tcW w:type="dxa" w:w="3859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【具体环境与日志】</w:t>
            </w:r>
          </w:p>
        </w:tc>
        <w:tc>
          <w:tcPr>
            <w:tcW w:type="dxa" w:w="190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【姓名 / P0-P2】</w:t>
            </w:r>
          </w:p>
        </w:tc>
        <w:tc>
          <w:tcPr>
            <w:tcW w:type="dxa" w:w="253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【MR 地址 / 待回归】</w:t>
            </w:r>
          </w:p>
        </w:tc>
      </w:tr>
    </w:tbl>
    <w:p>
      <w:pPr>
        <w:spacing w:after="0"/>
      </w:pPr>
    </w:p>
    <w:p>
      <w:r>
        <w:t>闭环流转：复现 → 归类 / 分级 → 责任人提交 fix 分支 → 自测 → 关联 MR → 相关人 Review → 合入 develop → 成员 7 回归 → 更新 Issue 状态。</w:t>
      </w:r>
    </w:p>
    <w:p>
      <w:pPr>
        <w:pStyle w:val="Heading1"/>
      </w:pPr>
      <w:r>
        <w:t>02  公共状态与接口修复方案</w:t>
      </w:r>
    </w:p>
    <w:p>
      <w:r>
        <w:t>本节为可直接执行的补丁设计与核对规范。由于未获得项目源码，不能将这些设计视作已在实际仓库完成修改。</w:t>
      </w:r>
    </w:p>
    <w:p>
      <w:pPr>
        <w:pStyle w:val="Heading2"/>
      </w:pPr>
      <w:r>
        <w:t>2.1 统一状态的四条约束</w:t>
      </w:r>
    </w:p>
    <w:p>
      <w:pPr>
        <w:pStyle w:val="ListBullet"/>
        <w:spacing w:after="60"/>
      </w:pPr>
      <w:r>
        <w:t>唯一当前 Step：Controller 统一管理当前索引与步骤序列；播放器只发出 next / prev / pause / replay 等控制命令。</w:t>
      </w:r>
    </w:p>
    <w:p>
      <w:pPr>
        <w:pStyle w:val="ListBullet"/>
        <w:spacing w:after="60"/>
      </w:pPr>
      <w:r>
        <w:t>同源渲染：节点/指针动画、代码高亮、步骤解释同时读取当前 Step，不能各自维护不一致的当前索引。</w:t>
      </w:r>
    </w:p>
    <w:p>
      <w:pPr>
        <w:pStyle w:val="ListBullet"/>
        <w:spacing w:after="60"/>
      </w:pPr>
      <w:r>
        <w:t>状态快照稳定：算法 Step 所对应的数据结构快照必须可复现，后续步骤不能原地修改前一步快照。</w:t>
      </w:r>
    </w:p>
    <w:p>
      <w:pPr>
        <w:pStyle w:val="ListBullet"/>
        <w:spacing w:after="60"/>
      </w:pPr>
      <w:r>
        <w:t>异步操作可取消：回退、重播、切换算法时取消旧计时器或过期动画回调，避免旧回调再次推进新步骤。</w:t>
      </w:r>
    </w:p>
    <w:p>
      <w:pPr>
        <w:pStyle w:val="Heading2"/>
      </w:pPr>
      <w:r>
        <w:t>2.2 建议补丁任务拆解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5"/>
        <w:gridCol w:w="5630"/>
        <w:gridCol w:w="2304"/>
      </w:tblGrid>
      <w:tr>
        <w:trPr>
          <w:tblHeader/>
          <w:cantSplit/>
        </w:trPr>
        <w:tc>
          <w:tcPr>
            <w:tcW w:type="dxa" w:w="2045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修复包</w:t>
            </w:r>
          </w:p>
        </w:tc>
        <w:tc>
          <w:tcPr>
            <w:tcW w:type="dxa" w:w="5630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建议改动与实施动作</w:t>
            </w:r>
          </w:p>
        </w:tc>
        <w:tc>
          <w:tcPr>
            <w:tcW w:type="dxa" w:w="2304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负责人 / 验收依据</w:t>
            </w:r>
          </w:p>
        </w:tc>
      </w:tr>
      <w:tr>
        <w:trPr>
          <w:cantSplit/>
        </w:trPr>
        <w:tc>
          <w:tcPr>
            <w:tcW w:type="dxa" w:w="2045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FIX-01</w:t>
              <w:br/>
              <w:t>Controller 单一状态源</w:t>
            </w:r>
          </w:p>
        </w:tc>
        <w:tc>
          <w:tcPr>
            <w:tcW w:type="dxa" w:w="563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统一维护步骤序列、当前索引和播放状态；删除播放器/动画对索引的重复写入；限制 index 有效范围。</w:t>
            </w:r>
          </w:p>
        </w:tc>
        <w:tc>
          <w:tcPr>
            <w:tcW w:type="dxa" w:w="230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1、4；快进回退不跳步</w:t>
            </w:r>
          </w:p>
        </w:tc>
      </w:tr>
      <w:tr>
        <w:trPr>
          <w:cantSplit/>
        </w:trPr>
        <w:tc>
          <w:tcPr>
            <w:tcW w:type="dxa" w:w="2045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FIX-02</w:t>
              <w:br/>
              <w:t>Step 快照隔离</w:t>
            </w:r>
          </w:p>
        </w:tc>
        <w:tc>
          <w:tcPr>
            <w:tcW w:type="dxa" w:w="563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将每一步链表结构与临时节点状态区分；对数据快照进行深复制/不可变处理，检查变量与指针引用。</w:t>
            </w:r>
          </w:p>
        </w:tc>
        <w:tc>
          <w:tcPr>
            <w:tcW w:type="dxa" w:w="230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5、1；回退到任意步状态一致</w:t>
            </w:r>
          </w:p>
        </w:tc>
      </w:tr>
      <w:tr>
        <w:trPr>
          <w:cantSplit/>
        </w:trPr>
        <w:tc>
          <w:tcPr>
            <w:tcW w:type="dxa" w:w="2045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FIX-03</w:t>
              <w:br/>
              <w:t>动画回调防重入</w:t>
            </w:r>
          </w:p>
        </w:tc>
        <w:tc>
          <w:tcPr>
            <w:tcW w:type="dxa" w:w="563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增加播放批次或版本令牌；暂停/重播时取消旧任务；只允许当前批次的完成回调触发下一步。</w:t>
            </w:r>
          </w:p>
        </w:tc>
        <w:tc>
          <w:tcPr>
            <w:tcW w:type="dxa" w:w="230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4、3；快速操作无重复推进</w:t>
            </w:r>
          </w:p>
        </w:tc>
      </w:tr>
      <w:tr>
        <w:trPr>
          <w:cantSplit/>
        </w:trPr>
        <w:tc>
          <w:tcPr>
            <w:tcW w:type="dxa" w:w="2045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FIX-04</w:t>
              <w:br/>
              <w:t>教学同步</w:t>
            </w:r>
          </w:p>
        </w:tc>
        <w:tc>
          <w:tcPr>
            <w:tcW w:type="dxa" w:w="563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统一按当前 Step 读取 codeLine 和 description；修正映射，不在动画模块独立计算代码位置。</w:t>
            </w:r>
          </w:p>
        </w:tc>
        <w:tc>
          <w:tcPr>
            <w:tcW w:type="dxa" w:w="230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6、1；动作、高亮、解释一致</w:t>
            </w:r>
          </w:p>
        </w:tc>
      </w:tr>
      <w:tr>
        <w:trPr>
          <w:cantSplit/>
        </w:trPr>
        <w:tc>
          <w:tcPr>
            <w:tcW w:type="dxa" w:w="2045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FIX-05</w:t>
              <w:br/>
              <w:t>异常输入边界</w:t>
            </w:r>
          </w:p>
        </w:tc>
        <w:tc>
          <w:tcPr>
            <w:tcW w:type="dxa" w:w="563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前端校验与算法端校验共同覆盖空结构、非法索引与非预期输入；出错不覆盖旧的正确展示。</w:t>
            </w:r>
          </w:p>
        </w:tc>
        <w:tc>
          <w:tcPr>
            <w:tcW w:type="dxa" w:w="230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2、5、7；异常操作有明确反馈</w:t>
            </w:r>
          </w:p>
        </w:tc>
      </w:tr>
      <w:tr>
        <w:trPr>
          <w:cantSplit/>
        </w:trPr>
        <w:tc>
          <w:tcPr>
            <w:tcW w:type="dxa" w:w="2045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FIX-06</w:t>
              <w:br/>
              <w:t>构建集成</w:t>
            </w:r>
          </w:p>
        </w:tc>
        <w:tc>
          <w:tcPr>
            <w:tcW w:type="dxa" w:w="563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检查编译、脚本资源和依赖；确认 MR 合并后的构建可复现与预览链接有效。</w:t>
            </w:r>
          </w:p>
        </w:tc>
        <w:tc>
          <w:tcPr>
            <w:tcW w:type="dxa" w:w="230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8、1；构建日志与预览可访问</w:t>
            </w:r>
          </w:p>
        </w:tc>
      </w:tr>
    </w:tbl>
    <w:p>
      <w:pPr>
        <w:spacing w:after="0"/>
      </w:pPr>
    </w:p>
    <w:p>
      <w:pPr>
        <w:pStyle w:val="Heading2"/>
      </w:pPr>
      <w:r>
        <w:t>2.3 Controller 统一处理流程（参考伪代码）</w:t>
      </w:r>
    </w:p>
    <w:p>
      <w:r>
        <w:t>下面为语言无关的逻辑基线，用于审查既有实现；名称需要匹配项目真实代码，并不表示已经新增这些函数。</w:t>
      </w:r>
    </w:p>
    <w:p>
      <w:pPr>
        <w:pStyle w:val="ListBullet"/>
        <w:spacing w:after="60"/>
      </w:pPr>
      <w:r>
        <w:t>load(steps): 取消旧异步任务；保存稳定 Step 快照；索引回到起始位置；同步渲染。</w:t>
      </w:r>
    </w:p>
    <w:p>
      <w:pPr>
        <w:pStyle w:val="ListBullet"/>
        <w:spacing w:after="60"/>
      </w:pPr>
      <w:r>
        <w:t>next(): 若播放忙碌或已到末尾则不推进；否则切换到下一 Step；仅本轮动画完成后可继续。</w:t>
      </w:r>
    </w:p>
    <w:p>
      <w:pPr>
        <w:pStyle w:val="ListBullet"/>
        <w:spacing w:after="60"/>
      </w:pPr>
      <w:r>
        <w:t>prev(): 取消旧动画/计时器；索引回退一格；直接依据历史快照重绘，而非尝试“倒放”指针副作用。</w:t>
      </w:r>
    </w:p>
    <w:p>
      <w:pPr>
        <w:pStyle w:val="ListBullet"/>
        <w:spacing w:after="60"/>
      </w:pPr>
      <w:r>
        <w:t>pause(): 暂停自动推进；不重置当前 Step，不触发额外推进。</w:t>
      </w:r>
    </w:p>
    <w:p>
      <w:pPr>
        <w:pStyle w:val="ListBullet"/>
        <w:spacing w:after="60"/>
      </w:pPr>
      <w:r>
        <w:t>replay(): 取消旧任务；重置到起始快照；从第一个有效 Step 重新开始。</w:t>
      </w:r>
    </w:p>
    <w:p>
      <w:pPr>
        <w:pStyle w:val="Heading2"/>
      </w:pPr>
      <w:r>
        <w:t>2.4 跨模块契约核对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8"/>
        <w:gridCol w:w="3240"/>
        <w:gridCol w:w="4781"/>
      </w:tblGrid>
      <w:tr>
        <w:trPr>
          <w:tblHeader/>
          <w:cantSplit/>
        </w:trPr>
        <w:tc>
          <w:tcPr>
            <w:tcW w:type="dxa" w:w="1958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接口</w:t>
            </w:r>
          </w:p>
        </w:tc>
        <w:tc>
          <w:tcPr>
            <w:tcW w:type="dxa" w:w="3240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供方 → 用方</w:t>
            </w:r>
          </w:p>
        </w:tc>
        <w:tc>
          <w:tcPr>
            <w:tcW w:type="dxa" w:w="4781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二轮确认点</w:t>
            </w:r>
          </w:p>
        </w:tc>
      </w:tr>
      <w:tr>
        <w:trPr>
          <w:cantSplit/>
        </w:trPr>
        <w:tc>
          <w:tcPr>
            <w:tcW w:type="dxa" w:w="195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UI → Algorithm</w:t>
            </w:r>
          </w:p>
        </w:tc>
        <w:tc>
          <w:tcPr>
            <w:tcW w:type="dxa" w:w="32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邱宁华 / 邹毅轩 → 林嘉祚</w:t>
            </w:r>
          </w:p>
        </w:tc>
        <w:tc>
          <w:tcPr>
            <w:tcW w:type="dxa" w:w="478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链表值、插入位置的约定明确；非法输入不生成错误 Step。</w:t>
            </w:r>
          </w:p>
        </w:tc>
      </w:tr>
      <w:tr>
        <w:trPr>
          <w:cantSplit/>
        </w:trPr>
        <w:tc>
          <w:tcPr>
            <w:tcW w:type="dxa" w:w="195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Algorithm → Step</w:t>
            </w:r>
          </w:p>
        </w:tc>
        <w:tc>
          <w:tcPr>
            <w:tcW w:type="dxa" w:w="32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林嘉祚 → 詹志瑜</w:t>
            </w:r>
          </w:p>
        </w:tc>
        <w:tc>
          <w:tcPr>
            <w:tcW w:type="dxa" w:w="478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字段、顺序、快照一致；variables 与 codeLine 按真实 Schema v1 审核。</w:t>
            </w:r>
          </w:p>
        </w:tc>
      </w:tr>
      <w:tr>
        <w:trPr>
          <w:cantSplit/>
        </w:trPr>
        <w:tc>
          <w:tcPr>
            <w:tcW w:type="dxa" w:w="195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Step → Animation</w:t>
            </w:r>
          </w:p>
        </w:tc>
        <w:tc>
          <w:tcPr>
            <w:tcW w:type="dxa" w:w="32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詹志瑜 → 苏林</w:t>
            </w:r>
          </w:p>
        </w:tc>
        <w:tc>
          <w:tcPr>
            <w:tcW w:type="dxa" w:w="478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节点 ID 稳定；Create/Connect/Highlight 语义与临时节点显示一致。</w:t>
            </w:r>
          </w:p>
        </w:tc>
      </w:tr>
      <w:tr>
        <w:trPr>
          <w:cantSplit/>
        </w:trPr>
        <w:tc>
          <w:tcPr>
            <w:tcW w:type="dxa" w:w="195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Step → Code Sync</w:t>
            </w:r>
          </w:p>
        </w:tc>
        <w:tc>
          <w:tcPr>
            <w:tcW w:type="dxa" w:w="32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詹志瑜 / 林嘉祚 → 郑伟航</w:t>
            </w:r>
          </w:p>
        </w:tc>
        <w:tc>
          <w:tcPr>
            <w:tcW w:type="dxa" w:w="478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高亮与步骤解释来自同一个当前 Step。</w:t>
            </w:r>
          </w:p>
        </w:tc>
      </w:tr>
      <w:tr>
        <w:trPr>
          <w:cantSplit/>
        </w:trPr>
        <w:tc>
          <w:tcPr>
            <w:tcW w:type="dxa" w:w="195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Player → Controller</w:t>
            </w:r>
          </w:p>
        </w:tc>
        <w:tc>
          <w:tcPr>
            <w:tcW w:type="dxa" w:w="32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邹毅轩 → 詹志瑜</w:t>
            </w:r>
          </w:p>
        </w:tc>
        <w:tc>
          <w:tcPr>
            <w:tcW w:type="dxa" w:w="478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控制事件唯一；不重复维护索引；完成态/暂停态正常。</w:t>
            </w:r>
          </w:p>
        </w:tc>
      </w:tr>
      <w:tr>
        <w:trPr>
          <w:cantSplit/>
        </w:trPr>
        <w:tc>
          <w:tcPr>
            <w:tcW w:type="dxa" w:w="195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Build → Deploy</w:t>
            </w:r>
          </w:p>
        </w:tc>
        <w:tc>
          <w:tcPr>
            <w:tcW w:type="dxa" w:w="32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全体 → 姚浩然</w:t>
            </w:r>
          </w:p>
        </w:tc>
        <w:tc>
          <w:tcPr>
            <w:tcW w:type="dxa" w:w="478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依赖、构建、访问及回滚信息可追溯。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i/>
          <w:color w:val="596977"/>
          <w:sz w:val="18"/>
        </w:rPr>
        <w:t>证据留存｜修复分支 / Commit / MR：【待补】；变更前后运行证据：【待补截图或 GIF】。</w:t>
      </w:r>
    </w:p>
    <w:p>
      <w:pPr>
        <w:pStyle w:val="Heading1"/>
      </w:pPr>
      <w:r>
        <w:t>03  补丁评审与合并管理</w:t>
      </w:r>
    </w:p>
    <w:p>
      <w:r>
        <w:t>所有修复统一采用 CodeArts 的 Issue → fix 分支 → 自测 → MR → Review → develop → 回归流程；公共状态及接口修改必须由成员 1 参与审核。</w:t>
      </w:r>
    </w:p>
    <w:p>
      <w:pPr>
        <w:pStyle w:val="Heading2"/>
      </w:pPr>
      <w:r>
        <w:t>3.1 补丁评审门槛</w:t>
      </w:r>
    </w:p>
    <w:p>
      <w:pPr>
        <w:pStyle w:val="ListBullet"/>
        <w:spacing w:after="60"/>
      </w:pPr>
      <w:r>
        <w:t>可追溯：MR 标明真实 Bug ID、复现步骤、修复范围、影响模块及运行证据。</w:t>
      </w:r>
    </w:p>
    <w:p>
      <w:pPr>
        <w:pStyle w:val="ListBullet"/>
        <w:spacing w:after="60"/>
      </w:pPr>
      <w:r>
        <w:t>最小变更：尽量限制为缺陷修复，避免顺手扩展 P1/P2 新功能。</w:t>
      </w:r>
    </w:p>
    <w:p>
      <w:pPr>
        <w:pStyle w:val="ListBullet"/>
        <w:spacing w:after="60"/>
      </w:pPr>
      <w:r>
        <w:t>兼容性：修改 Step Schema、Controller 行为或动作语义时，必须同步通知相关消费者。</w:t>
      </w:r>
    </w:p>
    <w:p>
      <w:pPr>
        <w:pStyle w:val="ListBullet"/>
        <w:spacing w:after="60"/>
      </w:pPr>
      <w:r>
        <w:t>回归覆盖：最少验证 10→20→40 插入 30；涉及播放器还应检查暂停、回退与重播。</w:t>
      </w:r>
    </w:p>
    <w:p>
      <w:pPr>
        <w:pStyle w:val="ListBullet"/>
        <w:spacing w:after="60"/>
      </w:pPr>
      <w:r>
        <w:t>构建与审核：CI 构建记录可见；至少一名相关成员 Review；存在 P0 风险则暂缓合并。</w:t>
      </w:r>
    </w:p>
    <w:p>
      <w:pPr>
        <w:pStyle w:val="Heading2"/>
      </w:pPr>
      <w:r>
        <w:t>3.2 MR 审查台账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2621"/>
        <w:gridCol w:w="1440"/>
        <w:gridCol w:w="3542"/>
      </w:tblGrid>
      <w:tr>
        <w:trPr>
          <w:tblHeader/>
          <w:cantSplit/>
        </w:trPr>
        <w:tc>
          <w:tcPr>
            <w:tcW w:type="dxa" w:w="2376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修复方向</w:t>
            </w:r>
          </w:p>
        </w:tc>
        <w:tc>
          <w:tcPr>
            <w:tcW w:type="dxa" w:w="2621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主要审核人</w:t>
            </w:r>
          </w:p>
        </w:tc>
        <w:tc>
          <w:tcPr>
            <w:tcW w:type="dxa" w:w="1440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审核结果</w:t>
            </w:r>
          </w:p>
        </w:tc>
        <w:tc>
          <w:tcPr>
            <w:tcW w:type="dxa" w:w="3542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MR / 自测证据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Controller / 公共状态</w:t>
            </w:r>
          </w:p>
        </w:tc>
        <w:tc>
          <w:tcPr>
            <w:tcW w:type="dxa" w:w="262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詹志瑜、邹毅轩</w:t>
            </w:r>
          </w:p>
        </w:tc>
        <w:tc>
          <w:tcPr>
            <w:tcW w:type="dxa" w:w="14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待评审</w:t>
            </w:r>
          </w:p>
        </w:tc>
        <w:tc>
          <w:tcPr>
            <w:tcW w:type="dxa" w:w="354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【链接 / 截图】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算法 / Step 快照</w:t>
            </w:r>
          </w:p>
        </w:tc>
        <w:tc>
          <w:tcPr>
            <w:tcW w:type="dxa" w:w="262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詹志瑜、林嘉祚</w:t>
            </w:r>
          </w:p>
        </w:tc>
        <w:tc>
          <w:tcPr>
            <w:tcW w:type="dxa" w:w="14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待评审</w:t>
            </w:r>
          </w:p>
        </w:tc>
        <w:tc>
          <w:tcPr>
            <w:tcW w:type="dxa" w:w="354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【链接 / 截图】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动画 / 控制时序</w:t>
            </w:r>
          </w:p>
        </w:tc>
        <w:tc>
          <w:tcPr>
            <w:tcW w:type="dxa" w:w="262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苏林、邹毅轩、詹志瑜</w:t>
            </w:r>
          </w:p>
        </w:tc>
        <w:tc>
          <w:tcPr>
            <w:tcW w:type="dxa" w:w="14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待评审</w:t>
            </w:r>
          </w:p>
        </w:tc>
        <w:tc>
          <w:tcPr>
            <w:tcW w:type="dxa" w:w="354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【链接 / GIF】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Code Sync / 解释</w:t>
            </w:r>
          </w:p>
        </w:tc>
        <w:tc>
          <w:tcPr>
            <w:tcW w:type="dxa" w:w="262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郑伟航、詹志瑜</w:t>
            </w:r>
          </w:p>
        </w:tc>
        <w:tc>
          <w:tcPr>
            <w:tcW w:type="dxa" w:w="14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待评审</w:t>
            </w:r>
          </w:p>
        </w:tc>
        <w:tc>
          <w:tcPr>
            <w:tcW w:type="dxa" w:w="354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【链接 / 截图】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输入、构建、环境</w:t>
            </w:r>
          </w:p>
        </w:tc>
        <w:tc>
          <w:tcPr>
            <w:tcW w:type="dxa" w:w="262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邱宁华、姚浩然、詹志瑜</w:t>
            </w:r>
          </w:p>
        </w:tc>
        <w:tc>
          <w:tcPr>
            <w:tcW w:type="dxa" w:w="144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待评审</w:t>
            </w:r>
          </w:p>
        </w:tc>
        <w:tc>
          <w:tcPr>
            <w:tcW w:type="dxa" w:w="354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【链接 / 日志】</w:t>
            </w:r>
          </w:p>
        </w:tc>
      </w:tr>
    </w:tbl>
    <w:p>
      <w:pPr>
        <w:spacing w:after="0"/>
      </w:pPr>
    </w:p>
    <w:p>
      <w:pPr>
        <w:pStyle w:val="Heading2"/>
      </w:pPr>
      <w:r>
        <w:t>3.3 可复制的 Review 意见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94"/>
            <w:shd w:fill="EAF2F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color w:val="19364C"/>
                <w:sz w:val="19"/>
              </w:rPr>
              <w:t>Review：本次补丁关联【Bug ID】；变更范围为【文件 / 模块】。已核对 Step Schema v1 与上下游消费者，黄金样例【通过 / 未执行 / 不通过】，暂停与回退【结果】；CI【结果】。待完成事项：【具体问题】。当前结论：【批准合并 / 要求修改 / 暂缓合并】，审核人【姓名】，时间【时间】。</w:t>
            </w:r>
          </w:p>
        </w:tc>
      </w:tr>
    </w:tbl>
    <w:p>
      <w:pPr>
        <w:spacing w:after="0"/>
      </w:pPr>
    </w:p>
    <w:p>
      <w:r>
        <w:t>仅在自测、接口回归和相关 Review 满足门槛时才能填“批准合并”；本文件不预设任何 MR 已经合并。</w:t>
      </w:r>
    </w:p>
    <w:p>
      <w:pPr>
        <w:pStyle w:val="Heading1"/>
      </w:pPr>
      <w:r>
        <w:t>04  第二轮集成验收计划与记录</w:t>
      </w:r>
    </w:p>
    <w:p>
      <w:r>
        <w:t>第二轮验收以“真实修复补丁已合入可构建的集成版本”为前提，先验证黄金样例，再验证边界与稳定性。结果栏默认“待执行”，实际运行后按证据填写。</w:t>
      </w:r>
    </w:p>
    <w:p>
      <w:pPr>
        <w:pStyle w:val="Heading2"/>
      </w:pPr>
      <w:r>
        <w:t>4.1 复验环境与前置条件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99"/>
      </w:tblGrid>
      <w:tr>
        <w:trPr>
          <w:tblHeader/>
          <w:cantSplit/>
        </w:trPr>
        <w:tc>
          <w:tcPr>
            <w:tcW w:type="dxa" w:w="2880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8"/>
              </w:rPr>
              <w:t>项目</w:t>
            </w:r>
          </w:p>
        </w:tc>
        <w:tc>
          <w:tcPr>
            <w:tcW w:type="dxa" w:w="7099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8"/>
              </w:rPr>
              <w:t>二轮验收时需记录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CodeArts 分支 / Commit</w:t>
            </w:r>
          </w:p>
        </w:tc>
        <w:tc>
          <w:tcPr>
            <w:tcW w:type="dxa" w:w="7099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【develop / 具体 Commit ID：待填】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部署地址 / 构建</w:t>
            </w:r>
          </w:p>
        </w:tc>
        <w:tc>
          <w:tcPr>
            <w:tcW w:type="dxa" w:w="7099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【预览链接 / 构建任务及日志：待填】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测试执行时间</w:t>
            </w:r>
          </w:p>
        </w:tc>
        <w:tc>
          <w:tcPr>
            <w:tcW w:type="dxa" w:w="7099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【2026-10-26 实际时刻：待填】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参加成员</w:t>
            </w:r>
          </w:p>
        </w:tc>
        <w:tc>
          <w:tcPr>
            <w:tcW w:type="dxa" w:w="7099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1 / 詹志瑜、7 / 林俊杰、8 / 姚浩然；模块负责人配合</w:t>
            </w:r>
          </w:p>
        </w:tc>
      </w:tr>
    </w:tbl>
    <w:p>
      <w:pPr>
        <w:spacing w:after="0"/>
      </w:pPr>
    </w:p>
    <w:p>
      <w:pPr>
        <w:pStyle w:val="Heading2"/>
      </w:pPr>
      <w:r>
        <w:t>4.2 第二轮用例与预期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6"/>
        <w:gridCol w:w="2650"/>
        <w:gridCol w:w="5256"/>
        <w:gridCol w:w="1267"/>
      </w:tblGrid>
      <w:tr>
        <w:trPr>
          <w:tblHeader/>
          <w:cantSplit/>
        </w:trPr>
        <w:tc>
          <w:tcPr>
            <w:tcW w:type="dxa" w:w="806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编号</w:t>
            </w:r>
          </w:p>
        </w:tc>
        <w:tc>
          <w:tcPr>
            <w:tcW w:type="dxa" w:w="2650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操作场景</w:t>
            </w:r>
          </w:p>
        </w:tc>
        <w:tc>
          <w:tcPr>
            <w:tcW w:type="dxa" w:w="5256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通过条件</w:t>
            </w:r>
          </w:p>
        </w:tc>
        <w:tc>
          <w:tcPr>
            <w:tcW w:type="dxa" w:w="1267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6"/>
              </w:rPr>
              <w:t>结果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T-01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创建 10→20→40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初始节点/连线正确、可正常输入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T-02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在 20 后插入 30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真实 Step 顺序正确；最终 10→20→30→40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T-03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逐步前进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节点创建、指针变更、当前 Step 与索引一致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T-04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同步教学展示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每一步动画、codeLine、高亮及解释一致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T-05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自动播放 / 暂停 / 恢复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暂停后不额外推进；恢复不跳步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T-06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回退后继续播放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回退恢复快照；再次前进不残留、不重复创建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T-07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完成后重播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从初始状态重新执行，最终结果不重复插入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T-08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快速连续点击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索引无越界；动画不重入或错乱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T-09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空链表 / 头尾插入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算法与展示符合边界预期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T-10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非法索引 / 非法输入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明确拒绝或提示，不破坏上一次有效状态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T-11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连续执行两次操作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第一次状态保留或按设计重置；没有指针残留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T-12</w:t>
            </w:r>
          </w:p>
        </w:tc>
        <w:tc>
          <w:tcPr>
            <w:tcW w:type="dxa" w:w="2650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CI 构建与预览访问</w:t>
            </w:r>
          </w:p>
        </w:tc>
        <w:tc>
          <w:tcPr>
            <w:tcW w:type="dxa" w:w="5256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代码构建成功；预览可访问；版本可追溯</w:t>
            </w:r>
          </w:p>
        </w:tc>
        <w:tc>
          <w:tcPr>
            <w:tcW w:type="dxa" w:w="1267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6"/>
              </w:rPr>
              <w:t>待执行</w:t>
            </w:r>
          </w:p>
        </w:tc>
      </w:tr>
    </w:tbl>
    <w:p>
      <w:pPr>
        <w:spacing w:after="0"/>
      </w:pPr>
    </w:p>
    <w:p>
      <w:pPr>
        <w:pStyle w:val="Heading2"/>
      </w:pPr>
      <w:r>
        <w:t>4.3 集成验收决策门槛</w:t>
      </w:r>
    </w:p>
    <w:p>
      <w:pPr>
        <w:pStyle w:val="ListBullet"/>
        <w:spacing w:after="60"/>
      </w:pPr>
      <w:r>
        <w:t>Go：T-01 至 T-07 及 T-12 通过，黄金样例最终结构正确，当前不存在可复现的阻断演示 P0 问题。</w:t>
      </w:r>
    </w:p>
    <w:p>
      <w:pPr>
        <w:pStyle w:val="ListBullet"/>
        <w:spacing w:after="60"/>
      </w:pPr>
      <w:r>
        <w:t>Conditional：P0 全部关闭，非阻断问题已记录责任人和计划；相关用例可在 Day 5 前回归，但不得宣称所有功能通过。</w:t>
      </w:r>
    </w:p>
    <w:p>
      <w:pPr>
        <w:pStyle w:val="ListBullet"/>
        <w:spacing w:after="60"/>
      </w:pPr>
      <w:r>
        <w:t>No-Go：核心链路失败、存在未修复 P0、MR 审核缺失或构建版本不可复现；暂停非核心扩展并继续修复。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811"/>
      </w:tblGrid>
      <w:tr>
        <w:trPr>
          <w:tblHeader/>
          <w:cantSplit/>
        </w:trPr>
        <w:tc>
          <w:tcPr>
            <w:tcW w:type="dxa" w:w="3168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8"/>
              </w:rPr>
              <w:t>实际验收结论</w:t>
            </w:r>
          </w:p>
        </w:tc>
        <w:tc>
          <w:tcPr>
            <w:tcW w:type="dxa" w:w="6811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8"/>
              </w:rPr>
              <w:t>填写位置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第二轮 E2E 结论</w:t>
            </w:r>
          </w:p>
        </w:tc>
        <w:tc>
          <w:tcPr>
            <w:tcW w:type="dxa" w:w="681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【通过 / 有条件通过 / 不通过 / 未执行】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仍未解决的 P0 / P1</w:t>
            </w:r>
          </w:p>
        </w:tc>
        <w:tc>
          <w:tcPr>
            <w:tcW w:type="dxa" w:w="681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【数量、真实 Bug ID 与下一步处置】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组长确认</w:t>
            </w:r>
          </w:p>
        </w:tc>
        <w:tc>
          <w:tcPr>
            <w:tcW w:type="dxa" w:w="681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【詹志瑜 / 日期 / 实际结论】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测试 / 工程确认</w:t>
            </w:r>
          </w:p>
        </w:tc>
        <w:tc>
          <w:tcPr>
            <w:tcW w:type="dxa" w:w="681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8"/>
              </w:rPr>
              <w:t>【林俊杰、姚浩然 / 实际记录】</w:t>
            </w:r>
          </w:p>
        </w:tc>
      </w:tr>
    </w:tbl>
    <w:p>
      <w:pPr>
        <w:spacing w:after="0"/>
      </w:pPr>
    </w:p>
    <w:p>
      <w:pPr>
        <w:pStyle w:val="Heading1"/>
      </w:pPr>
      <w:r>
        <w:t>05  Day 4 风险台账与次日安排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3384"/>
        <w:gridCol w:w="4522"/>
      </w:tblGrid>
      <w:tr>
        <w:trPr>
          <w:tblHeader/>
          <w:cantSplit/>
        </w:trPr>
        <w:tc>
          <w:tcPr>
            <w:tcW w:type="dxa" w:w="2074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风险</w:t>
            </w:r>
          </w:p>
        </w:tc>
        <w:tc>
          <w:tcPr>
            <w:tcW w:type="dxa" w:w="3384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影响 / 触发信号</w:t>
            </w:r>
          </w:p>
        </w:tc>
        <w:tc>
          <w:tcPr>
            <w:tcW w:type="dxa" w:w="4522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责任及应对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R-01 公共契约变化</w:t>
            </w:r>
          </w:p>
        </w:tc>
        <w:tc>
          <w:tcPr>
            <w:tcW w:type="dxa" w:w="338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接口字段变更导致下游未同步</w:t>
            </w:r>
          </w:p>
        </w:tc>
        <w:tc>
          <w:tcPr>
            <w:tcW w:type="dxa" w:w="452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詹志瑜：冻结 Schema v1 或组织全部消费者同步 Review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R-02 播放状态竞争</w:t>
            </w:r>
          </w:p>
        </w:tc>
        <w:tc>
          <w:tcPr>
            <w:tcW w:type="dxa" w:w="338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回退、暂停、快点后异步回调重复推进</w:t>
            </w:r>
          </w:p>
        </w:tc>
        <w:tc>
          <w:tcPr>
            <w:tcW w:type="dxa" w:w="452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邹毅轩 / 苏林：取消旧任务并按 Step 快照重建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R-03 算法快照错误</w:t>
            </w:r>
          </w:p>
        </w:tc>
        <w:tc>
          <w:tcPr>
            <w:tcW w:type="dxa" w:w="338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中间状态或指针顺序错误</w:t>
            </w:r>
          </w:p>
        </w:tc>
        <w:tc>
          <w:tcPr>
            <w:tcW w:type="dxa" w:w="452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林嘉祚：核对 Step；成员 7 补充回归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R-04 集成构建失败</w:t>
            </w:r>
          </w:p>
        </w:tc>
        <w:tc>
          <w:tcPr>
            <w:tcW w:type="dxa" w:w="338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合并后资源/依赖错误，预览不可访问</w:t>
            </w:r>
          </w:p>
        </w:tc>
        <w:tc>
          <w:tcPr>
            <w:tcW w:type="dxa" w:w="452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姚浩然：保存失败日志并回滚到可复现 Commit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R-05 进度偏差</w:t>
            </w:r>
          </w:p>
        </w:tc>
        <w:tc>
          <w:tcPr>
            <w:tcW w:type="dxa" w:w="338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Day 3 实际剩余 47，超过计划 44 点</w:t>
            </w:r>
          </w:p>
        </w:tc>
        <w:tc>
          <w:tcPr>
            <w:tcW w:type="dxa" w:w="4522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詹志瑜：先 P0 修复，Day 4 记录真实验收剩余点</w:t>
            </w:r>
          </w:p>
        </w:tc>
      </w:tr>
    </w:tbl>
    <w:p>
      <w:pPr>
        <w:spacing w:after="0"/>
      </w:pPr>
    </w:p>
    <w:p>
      <w:pPr>
        <w:pStyle w:val="Heading2"/>
      </w:pPr>
      <w:r>
        <w:t>Day 4 → Day 5 决策</w:t>
      </w:r>
    </w:p>
    <w:p>
      <w:r>
        <w:t>若 Day 4 黄金样例经第二轮集成验收仍有阻断问题，则 Day 5 继续集中资源处理 P0 缺陷，不启动数组等扩展。仅当 P0 稳定、回归通过、构建可用时，才按原计划转向数组模块与架构复用。</w:t>
      </w:r>
    </w:p>
    <w:p>
      <w:pPr>
        <w:pStyle w:val="Heading1"/>
      </w:pPr>
      <w:r>
        <w:t>06  交付证据清单与签收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31"/>
        <w:gridCol w:w="6624"/>
        <w:gridCol w:w="1224"/>
      </w:tblGrid>
      <w:tr>
        <w:trPr>
          <w:tblHeader/>
          <w:cantSplit/>
        </w:trPr>
        <w:tc>
          <w:tcPr>
            <w:tcW w:type="dxa" w:w="2131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应归档材料</w:t>
            </w:r>
          </w:p>
        </w:tc>
        <w:tc>
          <w:tcPr>
            <w:tcW w:type="dxa" w:w="6624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应提交内容</w:t>
            </w:r>
          </w:p>
        </w:tc>
        <w:tc>
          <w:tcPr>
            <w:tcW w:type="dxa" w:w="1224"/>
            <w:shd w:fill="E6F0F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b/>
                <w:color w:val="19364C"/>
                <w:sz w:val="17"/>
              </w:rPr>
              <w:t>当前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Bug 分派表</w:t>
            </w:r>
          </w:p>
        </w:tc>
        <w:tc>
          <w:tcPr>
            <w:tcW w:type="dxa" w:w="66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真实 Bug ID、优先级、复现步骤、负责人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待补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关键修复 PR / MR</w:t>
            </w:r>
          </w:p>
        </w:tc>
        <w:tc>
          <w:tcPr>
            <w:tcW w:type="dxa" w:w="66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CodeArts 地址、Review 意见、关联 Commit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待补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第二轮联调记录</w:t>
            </w:r>
          </w:p>
        </w:tc>
        <w:tc>
          <w:tcPr>
            <w:tcW w:type="dxa" w:w="66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逐步截图 / GIF、T-01~T-12 结果、日志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待补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集成版本证据</w:t>
            </w:r>
          </w:p>
        </w:tc>
        <w:tc>
          <w:tcPr>
            <w:tcW w:type="dxa" w:w="66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分支、Commit、CI 结果、预览链接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待补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每日资料</w:t>
            </w:r>
          </w:p>
        </w:tc>
        <w:tc>
          <w:tcPr>
            <w:tcW w:type="dxa" w:w="66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站会照片、Day 4 博客、燃尽图、AI 辅助排错记录</w:t>
            </w:r>
          </w:p>
        </w:tc>
        <w:tc>
          <w:tcPr>
            <w:tcW w:type="dxa" w:w="1224"/>
            <w:vAlign w:val="center"/>
            <w:tcMar>
              <w:top w:w="82" w:type="dxa"/>
              <w:start w:w="110" w:type="dxa"/>
              <w:bottom w:w="82" w:type="dxa"/>
              <w:end w:w="110" w:type="dxa"/>
            </w:tcMar>
            <w:tcBorders>
              <w:bottom w:val="single" w:sz="4" w:color="DCE6ED"/>
            </w:tcBorders>
          </w:tcPr>
          <w:p>
            <w:pPr>
              <w:spacing w:after="0" w:line="281" w:lineRule="auto"/>
            </w:pPr>
            <w:r>
              <w:rPr>
                <w:rFonts w:ascii="Noto Sans CJK SC" w:hAnsi="Noto Sans CJK SC"/>
                <w:color w:val="19364C"/>
                <w:sz w:val="17"/>
              </w:rPr>
              <w:t>待补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94"/>
            <w:shd w:fill="F1F5F8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Noto Sans CJK SC" w:hAnsi="Noto Sans CJK SC"/>
                <w:color w:val="19364C"/>
                <w:sz w:val="19"/>
              </w:rPr>
              <w:t>组长当日交付判定：Bug 分配有真实记录；关键补丁经过审核并形成 MR；第二轮验收结论由真实运行证明；不存在已知、可复现的阻断演示问题。若不满足，应如实记录未完成项和 Day 5 优先处理动作。</w:t>
            </w:r>
          </w:p>
        </w:tc>
      </w:tr>
    </w:tbl>
    <w:p>
      <w:pPr>
        <w:spacing w:after="0"/>
      </w:pPr>
    </w:p>
    <w:p>
      <w:r>
        <w:t>资料依据：《NULL 团队 Alpha 冲刺七天执行计划》Day 3–4、核心接口协作矩阵及《Day 3 黄金样例端到端联调与 PR/MR 评审记录》。</w:t>
      </w:r>
    </w:p>
    <w:p>
      <w:r>
        <w:t>归档路径 / CodeArts 工作项链接：【待填写】；组长签名：【待填写】；归档日期：【待填写】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66" w:right="1123" w:bottom="1008" w:left="1123" w:header="504" w:footer="5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SC" w:hAnsi="Noto Sans CJK SC"/>
        <w:color w:val="596977"/>
        <w:sz w:val="16"/>
      </w:rPr>
      <w:t xml:space="preserve">数据结构可视化学习平台  ·  Day 4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inyLabel"/>
    </w:pPr>
    <w:r>
      <w:t>NULL TEAM   /   ALPHA SPRINT   /   DAY 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Noto Sans CJK SC" w:hAnsi="Noto Sans CJK SC"/>
      <w:color w:val="19364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Noto Sans CJK SC" w:hAnsi="Noto Sans CJK SC"/>
      <w:b/>
      <w:bCs/>
      <w:color w:val="19364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 CJK SC" w:hAnsi="Noto Sans CJK SC"/>
      <w:b/>
      <w:bCs/>
      <w:color w:val="206C8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Noto Sans CJK SC" w:hAnsi="Noto Sans CJK SC"/>
      <w:b/>
      <w:bCs/>
      <w:color w:val="19364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Noto Sans CJK SC" w:hAnsi="Noto Sans CJK SC"/>
      <w:b/>
      <w:color w:val="19364C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Noto Sans CJK SC" w:hAnsi="Noto Sans CJK SC"/>
      <w:b w:val="0"/>
      <w:i/>
      <w:iCs/>
      <w:color w:val="596977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nyLabel">
    <w:name w:val="Tiny Label"/>
    <w:pPr>
      <w:spacing w:after="160"/>
    </w:pPr>
    <w:rPr>
      <w:rFonts w:ascii="Noto Sans CJK SC" w:hAnsi="Noto Sans CJK SC"/>
      <w:b/>
      <w:color w:val="206C8E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NULL团队 Alpha 冲刺 Day4 Bug分级与公共状态修复、补丁评审及第二轮验收</dc:title>
  <dc:subject>Day4 组长任务：Bug 归类、接口修复方案、MR 审核与第二轮集成验收</dc:subject>
  <dc:creator>NULL 团队</dc:creator>
  <cp:keywords>Alpha; Day4; Step Controller; MR Review; E2E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